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9D2A4" w14:textId="1B54DCE4" w:rsidR="00B8639D" w:rsidRPr="004B60AB" w:rsidRDefault="00AB19D8" w:rsidP="00070498">
      <w:pPr>
        <w:spacing w:line="28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7102ED1" wp14:editId="79322ADF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41289926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2AC4">
        <w:rPr>
          <w:rFonts w:cs="Calibri"/>
        </w:rPr>
        <w:tab/>
      </w:r>
      <w:r w:rsidRPr="004D2AC4">
        <w:rPr>
          <w:rFonts w:cs="Calibri"/>
        </w:rPr>
        <w:tab/>
      </w:r>
    </w:p>
    <w:p w14:paraId="301B69C4" w14:textId="77777777" w:rsidR="00070498" w:rsidRDefault="00070498" w:rsidP="00B8639D">
      <w:pPr>
        <w:rPr>
          <w:b/>
          <w:bCs/>
          <w:sz w:val="20"/>
          <w:szCs w:val="20"/>
          <w:lang w:eastAsia="pl-PL"/>
        </w:rPr>
      </w:pPr>
    </w:p>
    <w:p w14:paraId="1664437E" w14:textId="77777777" w:rsidR="00070498" w:rsidRDefault="00070498" w:rsidP="00B8639D">
      <w:pPr>
        <w:rPr>
          <w:b/>
          <w:bCs/>
          <w:sz w:val="20"/>
          <w:szCs w:val="20"/>
          <w:lang w:eastAsia="pl-PL"/>
        </w:rPr>
      </w:pPr>
    </w:p>
    <w:p w14:paraId="3BD790B1" w14:textId="77777777" w:rsidR="00070498" w:rsidRDefault="00070498" w:rsidP="00B8639D">
      <w:pPr>
        <w:rPr>
          <w:b/>
          <w:bCs/>
          <w:sz w:val="20"/>
          <w:szCs w:val="20"/>
          <w:lang w:eastAsia="pl-PL"/>
        </w:rPr>
      </w:pPr>
    </w:p>
    <w:p w14:paraId="60D45666" w14:textId="77777777" w:rsidR="00070498" w:rsidRDefault="00070498" w:rsidP="00B8639D">
      <w:pPr>
        <w:rPr>
          <w:b/>
          <w:bCs/>
          <w:sz w:val="20"/>
          <w:szCs w:val="20"/>
          <w:lang w:eastAsia="pl-PL"/>
        </w:rPr>
      </w:pPr>
    </w:p>
    <w:p w14:paraId="5E0B0397" w14:textId="423A494D" w:rsidR="00B8639D" w:rsidRPr="00FB683A" w:rsidRDefault="00B8639D" w:rsidP="00B8639D">
      <w:pPr>
        <w:rPr>
          <w:b/>
          <w:bCs/>
          <w:sz w:val="20"/>
          <w:szCs w:val="20"/>
          <w:lang w:eastAsia="pl-PL"/>
        </w:rPr>
      </w:pPr>
      <w:r w:rsidRPr="00857B52">
        <w:rPr>
          <w:b/>
          <w:bCs/>
          <w:sz w:val="20"/>
          <w:szCs w:val="20"/>
          <w:lang w:eastAsia="pl-PL"/>
        </w:rPr>
        <w:t xml:space="preserve">Załącznik nr </w:t>
      </w:r>
      <w:r w:rsidR="00857B52" w:rsidRPr="00857B52">
        <w:rPr>
          <w:b/>
          <w:bCs/>
          <w:sz w:val="20"/>
          <w:szCs w:val="20"/>
          <w:lang w:eastAsia="pl-PL"/>
        </w:rPr>
        <w:t>6:</w:t>
      </w:r>
      <w:r w:rsidRPr="00857B52">
        <w:rPr>
          <w:b/>
          <w:bCs/>
          <w:sz w:val="20"/>
          <w:szCs w:val="20"/>
          <w:lang w:eastAsia="pl-PL"/>
        </w:rPr>
        <w:t xml:space="preserve"> Opis przedmiotu zamówienia</w:t>
      </w:r>
      <w:r w:rsidR="009B7DC5" w:rsidRPr="00857B52">
        <w:rPr>
          <w:b/>
          <w:bCs/>
          <w:sz w:val="20"/>
          <w:szCs w:val="20"/>
          <w:lang w:eastAsia="pl-PL"/>
        </w:rPr>
        <w:t>.</w:t>
      </w:r>
    </w:p>
    <w:p w14:paraId="528F11DC" w14:textId="77777777" w:rsidR="00FB683A" w:rsidRDefault="00FB683A" w:rsidP="00B8639D">
      <w:pPr>
        <w:rPr>
          <w:sz w:val="20"/>
          <w:szCs w:val="20"/>
          <w:lang w:eastAsia="pl-PL"/>
        </w:rPr>
      </w:pPr>
    </w:p>
    <w:p w14:paraId="07A10428" w14:textId="77777777" w:rsidR="000353A6" w:rsidRPr="009D1C07" w:rsidRDefault="000353A6" w:rsidP="000353A6">
      <w:pPr>
        <w:numPr>
          <w:ilvl w:val="0"/>
          <w:numId w:val="50"/>
        </w:numPr>
        <w:spacing w:line="276" w:lineRule="auto"/>
        <w:ind w:left="709" w:hanging="709"/>
        <w:rPr>
          <w:rFonts w:ascii="Calibri" w:hAnsi="Calibri" w:cs="Calibri"/>
          <w:b/>
          <w:sz w:val="20"/>
          <w:szCs w:val="20"/>
        </w:rPr>
      </w:pPr>
      <w:r w:rsidRPr="009D1C07">
        <w:rPr>
          <w:rFonts w:ascii="Calibri" w:hAnsi="Calibri" w:cs="Calibri"/>
          <w:b/>
          <w:sz w:val="20"/>
          <w:szCs w:val="20"/>
        </w:rPr>
        <w:t>Opis przedmiotu zamówienia</w:t>
      </w:r>
    </w:p>
    <w:p w14:paraId="0EC6C1DF" w14:textId="2E154218" w:rsidR="000353A6" w:rsidRPr="00B27116" w:rsidRDefault="000353A6" w:rsidP="00B27116">
      <w:pPr>
        <w:numPr>
          <w:ilvl w:val="1"/>
          <w:numId w:val="50"/>
        </w:numPr>
        <w:spacing w:line="276" w:lineRule="auto"/>
        <w:ind w:left="709" w:hanging="709"/>
        <w:jc w:val="both"/>
        <w:rPr>
          <w:rFonts w:ascii="Calibri" w:hAnsi="Calibri" w:cs="Calibri"/>
          <w:sz w:val="20"/>
          <w:szCs w:val="20"/>
        </w:rPr>
      </w:pPr>
      <w:r w:rsidRPr="00282B5F">
        <w:rPr>
          <w:rFonts w:ascii="Calibri" w:hAnsi="Calibri" w:cs="Calibri"/>
          <w:sz w:val="20"/>
          <w:szCs w:val="20"/>
        </w:rPr>
        <w:t>Przedmiotem zamówienia jest świadczenie usługi kompleksowej od dnia 01.01.202</w:t>
      </w:r>
      <w:r w:rsidR="00B27116">
        <w:rPr>
          <w:rFonts w:ascii="Calibri" w:hAnsi="Calibri" w:cs="Calibri"/>
          <w:sz w:val="20"/>
          <w:szCs w:val="20"/>
        </w:rPr>
        <w:t>5</w:t>
      </w:r>
      <w:r w:rsidRPr="00282B5F">
        <w:rPr>
          <w:rFonts w:ascii="Calibri" w:hAnsi="Calibri" w:cs="Calibri"/>
          <w:sz w:val="20"/>
          <w:szCs w:val="20"/>
        </w:rPr>
        <w:t xml:space="preserve"> r. lub od dnia wykorzystania limitu kwoty obecnie obowiązującej umowy (w zależności, które zdarzenie nastąpi wcześniej), na okres </w:t>
      </w:r>
      <w:r w:rsidR="00B27116">
        <w:rPr>
          <w:rFonts w:ascii="Calibri" w:hAnsi="Calibri" w:cs="Calibri"/>
          <w:sz w:val="20"/>
          <w:szCs w:val="20"/>
        </w:rPr>
        <w:t>12</w:t>
      </w:r>
      <w:r w:rsidRPr="00282B5F">
        <w:rPr>
          <w:rFonts w:ascii="Calibri" w:hAnsi="Calibri" w:cs="Calibri"/>
          <w:sz w:val="20"/>
          <w:szCs w:val="20"/>
        </w:rPr>
        <w:t xml:space="preserve"> miesięcy lub do wyczerpania kwoty wskazanej w umowie </w:t>
      </w:r>
      <w:r w:rsidR="00B27116">
        <w:rPr>
          <w:rFonts w:ascii="Calibri" w:hAnsi="Calibri" w:cs="Calibri"/>
          <w:sz w:val="20"/>
          <w:szCs w:val="20"/>
        </w:rPr>
        <w:br/>
      </w:r>
      <w:r w:rsidRPr="00282B5F">
        <w:rPr>
          <w:rFonts w:ascii="Calibri" w:hAnsi="Calibri" w:cs="Calibri"/>
          <w:sz w:val="20"/>
          <w:szCs w:val="20"/>
        </w:rPr>
        <w:t>tj. sprzedaż energii elektrycznej oraz świadczenie</w:t>
      </w:r>
      <w:r w:rsidRPr="00DA5472">
        <w:rPr>
          <w:rFonts w:ascii="Calibri" w:hAnsi="Calibri" w:cs="Calibri"/>
          <w:sz w:val="20"/>
          <w:szCs w:val="20"/>
        </w:rPr>
        <w:t xml:space="preserve"> usługi dystrybucji energii elektrycznej do </w:t>
      </w:r>
      <w:r w:rsidR="00B27116">
        <w:rPr>
          <w:rFonts w:ascii="Calibri" w:hAnsi="Calibri" w:cs="Calibri"/>
          <w:sz w:val="20"/>
          <w:szCs w:val="20"/>
        </w:rPr>
        <w:t>jednego</w:t>
      </w:r>
      <w:r w:rsidRPr="009D1C07">
        <w:rPr>
          <w:rFonts w:ascii="Calibri" w:hAnsi="Calibri" w:cs="Calibri"/>
          <w:sz w:val="20"/>
          <w:szCs w:val="20"/>
        </w:rPr>
        <w:t xml:space="preserve"> punkt</w:t>
      </w:r>
      <w:r w:rsidR="00B27116">
        <w:rPr>
          <w:rFonts w:ascii="Calibri" w:hAnsi="Calibri" w:cs="Calibri"/>
          <w:sz w:val="20"/>
          <w:szCs w:val="20"/>
        </w:rPr>
        <w:t>u</w:t>
      </w:r>
      <w:r w:rsidRPr="009D1C07">
        <w:rPr>
          <w:rFonts w:ascii="Calibri" w:hAnsi="Calibri" w:cs="Calibri"/>
          <w:sz w:val="20"/>
          <w:szCs w:val="20"/>
        </w:rPr>
        <w:t xml:space="preserve"> poboru energii</w:t>
      </w:r>
      <w:r w:rsidR="00AB46B9">
        <w:rPr>
          <w:rFonts w:ascii="Calibri" w:hAnsi="Calibri" w:cs="Calibri"/>
          <w:sz w:val="20"/>
          <w:szCs w:val="20"/>
        </w:rPr>
        <w:t xml:space="preserve"> -</w:t>
      </w:r>
      <w:r w:rsidRPr="009D1C07">
        <w:rPr>
          <w:rFonts w:ascii="Calibri" w:hAnsi="Calibri" w:cs="Calibri"/>
          <w:sz w:val="20"/>
          <w:szCs w:val="20"/>
        </w:rPr>
        <w:t xml:space="preserve"> </w:t>
      </w:r>
      <w:r w:rsidRPr="00B27116">
        <w:rPr>
          <w:rFonts w:ascii="Calibri" w:hAnsi="Calibri" w:cs="Calibri"/>
          <w:sz w:val="20"/>
          <w:szCs w:val="20"/>
        </w:rPr>
        <w:t>Oddział Zamiejscowy w Pile, al. Niepodległości 24, 64-920 Piła</w:t>
      </w:r>
      <w:r w:rsidR="00B27116">
        <w:rPr>
          <w:rFonts w:ascii="Calibri" w:hAnsi="Calibri" w:cs="Calibri"/>
          <w:sz w:val="20"/>
          <w:szCs w:val="20"/>
        </w:rPr>
        <w:t>.</w:t>
      </w:r>
    </w:p>
    <w:p w14:paraId="6C2B7D3A" w14:textId="7FCDFECB" w:rsidR="000353A6" w:rsidRPr="00282B5F" w:rsidRDefault="000353A6" w:rsidP="000353A6">
      <w:pPr>
        <w:numPr>
          <w:ilvl w:val="1"/>
          <w:numId w:val="50"/>
        </w:numPr>
        <w:spacing w:line="276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 xml:space="preserve">Przedmiot zamówienia obejmuje usługę kompleksową w rozumieniu art. 3 ust. 30 Ustawy z dnia </w:t>
      </w:r>
      <w:r>
        <w:rPr>
          <w:rFonts w:ascii="Calibri" w:hAnsi="Calibri" w:cs="Calibri"/>
          <w:sz w:val="20"/>
          <w:szCs w:val="20"/>
        </w:rPr>
        <w:br/>
      </w:r>
      <w:r w:rsidRPr="009D1C07">
        <w:rPr>
          <w:rFonts w:ascii="Calibri" w:hAnsi="Calibri" w:cs="Calibri"/>
          <w:sz w:val="20"/>
          <w:szCs w:val="20"/>
        </w:rPr>
        <w:t>10 kwietnia 1997 r. – Prawo energetyczn</w:t>
      </w:r>
      <w:r w:rsidRPr="00E209C5">
        <w:rPr>
          <w:rFonts w:ascii="Calibri" w:hAnsi="Calibri" w:cs="Calibri"/>
          <w:sz w:val="20"/>
          <w:szCs w:val="20"/>
        </w:rPr>
        <w:t>e (Dz.U. 202</w:t>
      </w:r>
      <w:r w:rsidR="00B27116">
        <w:rPr>
          <w:rFonts w:ascii="Calibri" w:hAnsi="Calibri" w:cs="Calibri"/>
          <w:sz w:val="20"/>
          <w:szCs w:val="20"/>
        </w:rPr>
        <w:t>4</w:t>
      </w:r>
      <w:r w:rsidRPr="00E209C5">
        <w:rPr>
          <w:rFonts w:ascii="Calibri" w:hAnsi="Calibri" w:cs="Calibri"/>
          <w:sz w:val="20"/>
          <w:szCs w:val="20"/>
        </w:rPr>
        <w:t xml:space="preserve"> r. </w:t>
      </w:r>
      <w:r w:rsidR="00B27116">
        <w:rPr>
          <w:rFonts w:ascii="Calibri" w:hAnsi="Calibri" w:cs="Calibri"/>
          <w:sz w:val="20"/>
          <w:szCs w:val="20"/>
        </w:rPr>
        <w:t>poz. 266</w:t>
      </w:r>
      <w:r w:rsidRPr="00E209C5">
        <w:rPr>
          <w:rFonts w:ascii="Calibri" w:hAnsi="Calibri" w:cs="Calibri"/>
          <w:sz w:val="20"/>
          <w:szCs w:val="20"/>
        </w:rPr>
        <w:t xml:space="preserve">), </w:t>
      </w:r>
      <w:r w:rsidRPr="009D1C07">
        <w:rPr>
          <w:rFonts w:ascii="Calibri" w:hAnsi="Calibri" w:cs="Calibri"/>
          <w:sz w:val="20"/>
          <w:szCs w:val="20"/>
        </w:rPr>
        <w:t xml:space="preserve">polegającą na sprzedaży energii elektrycznej oraz świadczeniu usługi przesyłania/dystrybucji energii elektrycznej, realizowanej na podstawie umowy kompleksowej. Energia elektryczna powinna spełniać standardy techniczne zgodne z </w:t>
      </w:r>
      <w:r w:rsidRPr="00E209C5">
        <w:rPr>
          <w:rFonts w:ascii="Calibri" w:hAnsi="Calibri" w:cs="Calibri"/>
          <w:sz w:val="20"/>
          <w:szCs w:val="20"/>
        </w:rPr>
        <w:t>Ustawą z dnia 10 kwietnia 1997 r. – Prawo energetyczne (</w:t>
      </w:r>
      <w:r w:rsidR="00B27116" w:rsidRPr="00E209C5">
        <w:rPr>
          <w:rFonts w:ascii="Calibri" w:hAnsi="Calibri" w:cs="Calibri"/>
          <w:sz w:val="20"/>
          <w:szCs w:val="20"/>
        </w:rPr>
        <w:t>Dz.U. 202</w:t>
      </w:r>
      <w:r w:rsidR="00B27116">
        <w:rPr>
          <w:rFonts w:ascii="Calibri" w:hAnsi="Calibri" w:cs="Calibri"/>
          <w:sz w:val="20"/>
          <w:szCs w:val="20"/>
        </w:rPr>
        <w:t>4</w:t>
      </w:r>
      <w:r w:rsidR="00B27116" w:rsidRPr="00E209C5">
        <w:rPr>
          <w:rFonts w:ascii="Calibri" w:hAnsi="Calibri" w:cs="Calibri"/>
          <w:sz w:val="20"/>
          <w:szCs w:val="20"/>
        </w:rPr>
        <w:t xml:space="preserve"> r. </w:t>
      </w:r>
      <w:r w:rsidR="00B27116">
        <w:rPr>
          <w:rFonts w:ascii="Calibri" w:hAnsi="Calibri" w:cs="Calibri"/>
          <w:sz w:val="20"/>
          <w:szCs w:val="20"/>
        </w:rPr>
        <w:t>poz. 266</w:t>
      </w:r>
      <w:r w:rsidRPr="00E209C5">
        <w:rPr>
          <w:rFonts w:ascii="Calibri" w:hAnsi="Calibri" w:cs="Calibri"/>
          <w:sz w:val="20"/>
          <w:szCs w:val="20"/>
        </w:rPr>
        <w:t xml:space="preserve">) oraz parametry jakościowe określone w </w:t>
      </w:r>
      <w:r w:rsidRPr="003956C6">
        <w:rPr>
          <w:rFonts w:ascii="Calibri" w:hAnsi="Calibri" w:cs="Calibri"/>
          <w:sz w:val="20"/>
          <w:szCs w:val="20"/>
          <w:lang w:eastAsia="ar-SA"/>
        </w:rPr>
        <w:t>Rozporządzeni</w:t>
      </w:r>
      <w:r>
        <w:rPr>
          <w:rFonts w:ascii="Calibri" w:hAnsi="Calibri" w:cs="Calibri"/>
          <w:sz w:val="20"/>
          <w:szCs w:val="20"/>
          <w:lang w:eastAsia="ar-SA"/>
        </w:rPr>
        <w:t>u</w:t>
      </w:r>
      <w:r w:rsidRPr="003956C6">
        <w:rPr>
          <w:rFonts w:ascii="Calibri" w:hAnsi="Calibri" w:cs="Calibri"/>
          <w:sz w:val="20"/>
          <w:szCs w:val="20"/>
          <w:lang w:eastAsia="ar-SA"/>
        </w:rPr>
        <w:t xml:space="preserve"> Ministra Klimatu i Środowiska z dnia 29 listopada 2022 r. w sprawie sposobu kształtowania i kalkulacji taryf oraz sposobu rozliczeń w obrocie energią elektryczną</w:t>
      </w:r>
      <w:r w:rsidRPr="003956C6" w:rsidDel="003956C6">
        <w:rPr>
          <w:rFonts w:ascii="Calibri" w:hAnsi="Calibri" w:cs="Calibri"/>
          <w:sz w:val="20"/>
          <w:szCs w:val="20"/>
          <w:lang w:eastAsia="ar-SA"/>
        </w:rPr>
        <w:t xml:space="preserve"> </w:t>
      </w:r>
      <w:r w:rsidRPr="00282B5F">
        <w:rPr>
          <w:rFonts w:ascii="Calibri" w:hAnsi="Calibri" w:cs="Calibri"/>
          <w:bCs/>
          <w:sz w:val="20"/>
          <w:szCs w:val="20"/>
          <w:lang w:eastAsia="ar-SA"/>
        </w:rPr>
        <w:t>(Dz.U. 202</w:t>
      </w:r>
      <w:r w:rsidR="00B27116">
        <w:rPr>
          <w:rFonts w:ascii="Calibri" w:hAnsi="Calibri" w:cs="Calibri"/>
          <w:bCs/>
          <w:sz w:val="20"/>
          <w:szCs w:val="20"/>
          <w:lang w:eastAsia="ar-SA"/>
        </w:rPr>
        <w:t>4</w:t>
      </w:r>
      <w:r w:rsidRPr="00282B5F">
        <w:rPr>
          <w:rFonts w:ascii="Calibri" w:hAnsi="Calibri" w:cs="Calibri"/>
          <w:bCs/>
          <w:sz w:val="20"/>
          <w:szCs w:val="20"/>
          <w:lang w:eastAsia="ar-SA"/>
        </w:rPr>
        <w:t xml:space="preserve"> poz. </w:t>
      </w:r>
      <w:r w:rsidR="00B27116">
        <w:rPr>
          <w:rFonts w:ascii="Calibri" w:hAnsi="Calibri" w:cs="Calibri"/>
          <w:bCs/>
          <w:sz w:val="20"/>
          <w:szCs w:val="20"/>
          <w:lang w:eastAsia="ar-SA"/>
        </w:rPr>
        <w:t>904</w:t>
      </w:r>
      <w:r w:rsidRPr="00282B5F">
        <w:rPr>
          <w:rFonts w:ascii="Calibri" w:hAnsi="Calibri" w:cs="Calibri"/>
          <w:bCs/>
          <w:sz w:val="20"/>
          <w:szCs w:val="20"/>
          <w:lang w:eastAsia="ar-SA"/>
        </w:rPr>
        <w:t>)</w:t>
      </w:r>
      <w:r w:rsidRPr="00282B5F">
        <w:rPr>
          <w:rFonts w:ascii="Calibri" w:hAnsi="Calibri" w:cs="Calibri"/>
          <w:sz w:val="20"/>
          <w:szCs w:val="20"/>
        </w:rPr>
        <w:t>.</w:t>
      </w:r>
    </w:p>
    <w:p w14:paraId="5B6FFA21" w14:textId="77777777" w:rsidR="000353A6" w:rsidRPr="0020361E" w:rsidRDefault="000353A6" w:rsidP="000353A6">
      <w:pPr>
        <w:numPr>
          <w:ilvl w:val="1"/>
          <w:numId w:val="50"/>
        </w:numPr>
        <w:spacing w:line="276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20361E">
        <w:rPr>
          <w:rFonts w:ascii="Calibri" w:hAnsi="Calibri" w:cs="Calibri"/>
          <w:sz w:val="20"/>
          <w:szCs w:val="20"/>
        </w:rPr>
        <w:t>Standardy dotyczące dystrybucji energii elektrycznej ustalone są w taryfie Operatora, która określa:</w:t>
      </w:r>
    </w:p>
    <w:p w14:paraId="71DB98BB" w14:textId="77777777" w:rsidR="000353A6" w:rsidRPr="0020361E" w:rsidRDefault="000353A6" w:rsidP="000353A6">
      <w:pPr>
        <w:pStyle w:val="Default"/>
        <w:numPr>
          <w:ilvl w:val="0"/>
          <w:numId w:val="57"/>
        </w:numPr>
        <w:spacing w:line="280" w:lineRule="exact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20361E">
        <w:rPr>
          <w:rFonts w:ascii="Calibri" w:hAnsi="Calibri" w:cs="Calibri"/>
          <w:sz w:val="20"/>
          <w:szCs w:val="20"/>
        </w:rPr>
        <w:t>grupy taryfowe i szczegółowe kryteria kwalifikowania odbiorców do tych grup</w:t>
      </w:r>
      <w:r>
        <w:rPr>
          <w:rFonts w:ascii="Calibri" w:hAnsi="Calibri" w:cs="Calibri"/>
          <w:sz w:val="20"/>
          <w:szCs w:val="20"/>
        </w:rPr>
        <w:t>,</w:t>
      </w:r>
      <w:r w:rsidRPr="0020361E">
        <w:rPr>
          <w:rFonts w:ascii="Calibri" w:hAnsi="Calibri" w:cs="Calibri"/>
          <w:sz w:val="20"/>
          <w:szCs w:val="20"/>
        </w:rPr>
        <w:t xml:space="preserve"> </w:t>
      </w:r>
    </w:p>
    <w:p w14:paraId="107F287C" w14:textId="77777777" w:rsidR="000353A6" w:rsidRPr="0020361E" w:rsidRDefault="000353A6" w:rsidP="000353A6">
      <w:pPr>
        <w:pStyle w:val="Default"/>
        <w:numPr>
          <w:ilvl w:val="0"/>
          <w:numId w:val="57"/>
        </w:numPr>
        <w:spacing w:line="280" w:lineRule="exact"/>
        <w:ind w:left="1134" w:hanging="425"/>
        <w:jc w:val="both"/>
        <w:rPr>
          <w:rFonts w:ascii="Calibri" w:hAnsi="Calibri" w:cs="Calibri"/>
          <w:sz w:val="20"/>
          <w:szCs w:val="20"/>
        </w:rPr>
      </w:pPr>
      <w:r w:rsidRPr="0020361E">
        <w:rPr>
          <w:rFonts w:ascii="Calibri" w:hAnsi="Calibri" w:cs="Calibri"/>
          <w:sz w:val="20"/>
          <w:szCs w:val="20"/>
        </w:rPr>
        <w:t xml:space="preserve">sposób ustalania opłat za przyłączenie do sieci Operatora, zaś w przypadku przyłączenia do sieci </w:t>
      </w:r>
      <w:r>
        <w:rPr>
          <w:rFonts w:ascii="Calibri" w:hAnsi="Calibri" w:cs="Calibri"/>
          <w:sz w:val="20"/>
          <w:szCs w:val="20"/>
        </w:rPr>
        <w:br/>
      </w:r>
      <w:r w:rsidRPr="0020361E">
        <w:rPr>
          <w:rFonts w:ascii="Calibri" w:hAnsi="Calibri" w:cs="Calibri"/>
          <w:sz w:val="20"/>
          <w:szCs w:val="20"/>
        </w:rPr>
        <w:t xml:space="preserve">o napięciu znamionowym nie wyższym niż 1 </w:t>
      </w:r>
      <w:proofErr w:type="spellStart"/>
      <w:r w:rsidRPr="0020361E">
        <w:rPr>
          <w:rFonts w:ascii="Calibri" w:hAnsi="Calibri" w:cs="Calibri"/>
          <w:sz w:val="20"/>
          <w:szCs w:val="20"/>
        </w:rPr>
        <w:t>kV</w:t>
      </w:r>
      <w:proofErr w:type="spellEnd"/>
      <w:r w:rsidRPr="0020361E">
        <w:rPr>
          <w:rFonts w:ascii="Calibri" w:hAnsi="Calibri" w:cs="Calibri"/>
          <w:sz w:val="20"/>
          <w:szCs w:val="20"/>
        </w:rPr>
        <w:t xml:space="preserve"> także ryczałtowe stawki opłat</w:t>
      </w:r>
      <w:r>
        <w:rPr>
          <w:rFonts w:ascii="Calibri" w:hAnsi="Calibri" w:cs="Calibri"/>
          <w:sz w:val="20"/>
          <w:szCs w:val="20"/>
        </w:rPr>
        <w:t>,</w:t>
      </w:r>
      <w:r w:rsidRPr="0020361E">
        <w:rPr>
          <w:rFonts w:ascii="Calibri" w:hAnsi="Calibri" w:cs="Calibri"/>
          <w:sz w:val="20"/>
          <w:szCs w:val="20"/>
        </w:rPr>
        <w:t xml:space="preserve"> </w:t>
      </w:r>
    </w:p>
    <w:p w14:paraId="7940DBE9" w14:textId="77777777" w:rsidR="000353A6" w:rsidRPr="0020361E" w:rsidRDefault="000353A6" w:rsidP="000353A6">
      <w:pPr>
        <w:pStyle w:val="Default"/>
        <w:numPr>
          <w:ilvl w:val="0"/>
          <w:numId w:val="57"/>
        </w:numPr>
        <w:spacing w:line="280" w:lineRule="exact"/>
        <w:ind w:left="1134" w:hanging="42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s</w:t>
      </w:r>
      <w:r w:rsidRPr="0020361E">
        <w:rPr>
          <w:rFonts w:ascii="Calibri" w:hAnsi="Calibri" w:cs="Calibri"/>
          <w:sz w:val="20"/>
          <w:szCs w:val="20"/>
        </w:rPr>
        <w:t xml:space="preserve">tawki opłat za świadczenie usługi dystrybucji i warunki ich stosowania, z uwzględnieniem podziału na stawki wynikające z: </w:t>
      </w:r>
    </w:p>
    <w:p w14:paraId="484162B2" w14:textId="77777777" w:rsidR="000353A6" w:rsidRPr="0020361E" w:rsidRDefault="000353A6" w:rsidP="000353A6">
      <w:pPr>
        <w:pStyle w:val="Default"/>
        <w:numPr>
          <w:ilvl w:val="0"/>
          <w:numId w:val="58"/>
        </w:numPr>
        <w:spacing w:line="280" w:lineRule="exact"/>
        <w:ind w:left="1418" w:hanging="284"/>
        <w:jc w:val="both"/>
        <w:rPr>
          <w:rFonts w:ascii="Calibri" w:hAnsi="Calibri" w:cs="Calibri"/>
          <w:sz w:val="20"/>
          <w:szCs w:val="20"/>
        </w:rPr>
      </w:pPr>
      <w:r w:rsidRPr="0020361E">
        <w:rPr>
          <w:rFonts w:ascii="Calibri" w:hAnsi="Calibri" w:cs="Calibri"/>
          <w:sz w:val="20"/>
          <w:szCs w:val="20"/>
        </w:rPr>
        <w:t>dystrybucji energii elektrycznej (składniki zmienne i stałe stawki sieciowej)</w:t>
      </w:r>
      <w:r>
        <w:rPr>
          <w:rFonts w:ascii="Calibri" w:hAnsi="Calibri" w:cs="Calibri"/>
          <w:sz w:val="20"/>
          <w:szCs w:val="20"/>
        </w:rPr>
        <w:t>,</w:t>
      </w:r>
      <w:r w:rsidRPr="0020361E">
        <w:rPr>
          <w:rFonts w:ascii="Calibri" w:hAnsi="Calibri" w:cs="Calibri"/>
          <w:sz w:val="20"/>
          <w:szCs w:val="20"/>
        </w:rPr>
        <w:t xml:space="preserve"> </w:t>
      </w:r>
    </w:p>
    <w:p w14:paraId="0F74139E" w14:textId="77777777" w:rsidR="000353A6" w:rsidRPr="0020361E" w:rsidRDefault="000353A6" w:rsidP="000353A6">
      <w:pPr>
        <w:pStyle w:val="Default"/>
        <w:numPr>
          <w:ilvl w:val="0"/>
          <w:numId w:val="58"/>
        </w:numPr>
        <w:spacing w:line="280" w:lineRule="exact"/>
        <w:ind w:left="1418" w:hanging="284"/>
        <w:jc w:val="both"/>
        <w:rPr>
          <w:rFonts w:ascii="Calibri" w:hAnsi="Calibri" w:cs="Calibri"/>
          <w:sz w:val="20"/>
          <w:szCs w:val="20"/>
        </w:rPr>
      </w:pPr>
      <w:r w:rsidRPr="0020361E">
        <w:rPr>
          <w:rFonts w:ascii="Calibri" w:hAnsi="Calibri" w:cs="Calibri"/>
          <w:sz w:val="20"/>
          <w:szCs w:val="20"/>
        </w:rPr>
        <w:t>korzystania z krajowego systemu elektroenergetycznego (stawki jakościowe)</w:t>
      </w:r>
      <w:r>
        <w:rPr>
          <w:rFonts w:ascii="Calibri" w:hAnsi="Calibri" w:cs="Calibri"/>
          <w:sz w:val="20"/>
          <w:szCs w:val="20"/>
        </w:rPr>
        <w:t>,</w:t>
      </w:r>
      <w:r w:rsidRPr="0020361E">
        <w:rPr>
          <w:rFonts w:ascii="Calibri" w:hAnsi="Calibri" w:cs="Calibri"/>
          <w:sz w:val="20"/>
          <w:szCs w:val="20"/>
        </w:rPr>
        <w:t xml:space="preserve"> </w:t>
      </w:r>
    </w:p>
    <w:p w14:paraId="73215CC7" w14:textId="77777777" w:rsidR="000353A6" w:rsidRPr="0020361E" w:rsidRDefault="000353A6" w:rsidP="000353A6">
      <w:pPr>
        <w:numPr>
          <w:ilvl w:val="0"/>
          <w:numId w:val="58"/>
        </w:numPr>
        <w:autoSpaceDE w:val="0"/>
        <w:autoSpaceDN w:val="0"/>
        <w:adjustRightInd w:val="0"/>
        <w:spacing w:line="280" w:lineRule="exact"/>
        <w:ind w:left="1418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>odczytywania wskazań układów pomiarowo-rozliczeniowych i ich bieżącej kontroli (stawki abonamentowe)</w:t>
      </w:r>
      <w:r>
        <w:rPr>
          <w:rFonts w:ascii="Calibri" w:hAnsi="Calibri" w:cs="Calibri"/>
          <w:color w:val="000000"/>
          <w:sz w:val="20"/>
          <w:szCs w:val="20"/>
        </w:rPr>
        <w:t>,</w:t>
      </w:r>
    </w:p>
    <w:p w14:paraId="61F129F7" w14:textId="77777777" w:rsidR="000353A6" w:rsidRPr="0020361E" w:rsidRDefault="000353A6" w:rsidP="000353A6">
      <w:pPr>
        <w:numPr>
          <w:ilvl w:val="0"/>
          <w:numId w:val="58"/>
        </w:numPr>
        <w:autoSpaceDE w:val="0"/>
        <w:autoSpaceDN w:val="0"/>
        <w:adjustRightInd w:val="0"/>
        <w:spacing w:line="280" w:lineRule="exact"/>
        <w:ind w:left="1418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 xml:space="preserve">przedterminowego rozwiązania kontraktów długoterminowych (stawki opłaty przejściowej); </w:t>
      </w:r>
    </w:p>
    <w:p w14:paraId="7BE3C351" w14:textId="77777777" w:rsidR="000353A6" w:rsidRPr="0020361E" w:rsidRDefault="000353A6" w:rsidP="000353A6">
      <w:pPr>
        <w:numPr>
          <w:ilvl w:val="0"/>
          <w:numId w:val="58"/>
        </w:numPr>
        <w:autoSpaceDE w:val="0"/>
        <w:autoSpaceDN w:val="0"/>
        <w:adjustRightInd w:val="0"/>
        <w:spacing w:line="280" w:lineRule="exact"/>
        <w:ind w:left="1418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>zapewnienia dostępności energii elektrycznej ze źródeł odnawialnych w krajowym systemie elektroenergetycznym (stawka opłaty OZE)</w:t>
      </w:r>
      <w:r>
        <w:rPr>
          <w:rFonts w:ascii="Calibri" w:hAnsi="Calibri" w:cs="Calibri"/>
          <w:color w:val="000000"/>
          <w:sz w:val="20"/>
          <w:szCs w:val="20"/>
        </w:rPr>
        <w:t>,</w:t>
      </w:r>
      <w:r w:rsidRPr="0020361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6BC8EB6A" w14:textId="77777777" w:rsidR="000353A6" w:rsidRPr="0020361E" w:rsidRDefault="000353A6" w:rsidP="000353A6">
      <w:pPr>
        <w:numPr>
          <w:ilvl w:val="0"/>
          <w:numId w:val="58"/>
        </w:numPr>
        <w:autoSpaceDE w:val="0"/>
        <w:autoSpaceDN w:val="0"/>
        <w:adjustRightInd w:val="0"/>
        <w:spacing w:line="280" w:lineRule="exact"/>
        <w:ind w:left="1418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>udzielenia wsparcia dla energii elektrycznej wytwarzanej w wysokosprawnej kogeneracji (stawka opłaty kogeneracyjnej)</w:t>
      </w:r>
      <w:r>
        <w:rPr>
          <w:rFonts w:ascii="Calibri" w:hAnsi="Calibri" w:cs="Calibri"/>
          <w:color w:val="000000"/>
          <w:sz w:val="20"/>
          <w:szCs w:val="20"/>
        </w:rPr>
        <w:t>,</w:t>
      </w:r>
      <w:r w:rsidRPr="0020361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15FC3E6B" w14:textId="77777777" w:rsidR="000353A6" w:rsidRPr="0020361E" w:rsidRDefault="000353A6" w:rsidP="000353A6">
      <w:pPr>
        <w:numPr>
          <w:ilvl w:val="0"/>
          <w:numId w:val="58"/>
        </w:numPr>
        <w:autoSpaceDE w:val="0"/>
        <w:autoSpaceDN w:val="0"/>
        <w:adjustRightInd w:val="0"/>
        <w:spacing w:line="280" w:lineRule="exact"/>
        <w:ind w:left="1418" w:hanging="284"/>
        <w:jc w:val="both"/>
        <w:rPr>
          <w:rFonts w:ascii="Calibri" w:hAnsi="Calibri" w:cs="Calibri"/>
          <w:color w:val="000000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 xml:space="preserve">zapewnienia średnioterminowego i długoterminowego bezpieczeństwa dostaw energii elektrycznej do odbiorców końcowych (stawka opłaty </w:t>
      </w:r>
      <w:proofErr w:type="spellStart"/>
      <w:r w:rsidRPr="0020361E">
        <w:rPr>
          <w:rFonts w:ascii="Calibri" w:hAnsi="Calibri" w:cs="Calibri"/>
          <w:color w:val="000000"/>
          <w:sz w:val="20"/>
          <w:szCs w:val="20"/>
        </w:rPr>
        <w:t>mocowej</w:t>
      </w:r>
      <w:proofErr w:type="spellEnd"/>
      <w:r w:rsidRPr="0020361E">
        <w:rPr>
          <w:rFonts w:ascii="Calibri" w:hAnsi="Calibri" w:cs="Calibri"/>
          <w:color w:val="000000"/>
          <w:sz w:val="20"/>
          <w:szCs w:val="20"/>
        </w:rPr>
        <w:t>)</w:t>
      </w:r>
      <w:r>
        <w:rPr>
          <w:rFonts w:ascii="Calibri" w:hAnsi="Calibri" w:cs="Calibri"/>
          <w:color w:val="000000"/>
          <w:sz w:val="20"/>
          <w:szCs w:val="20"/>
        </w:rPr>
        <w:t>,</w:t>
      </w:r>
      <w:r w:rsidRPr="0020361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08F33A8F" w14:textId="77777777" w:rsidR="000353A6" w:rsidRPr="0020361E" w:rsidRDefault="000353A6" w:rsidP="000353A6">
      <w:pPr>
        <w:numPr>
          <w:ilvl w:val="0"/>
          <w:numId w:val="57"/>
        </w:numPr>
        <w:autoSpaceDE w:val="0"/>
        <w:autoSpaceDN w:val="0"/>
        <w:adjustRightInd w:val="0"/>
        <w:spacing w:line="280" w:lineRule="exact"/>
        <w:ind w:left="1134" w:hanging="425"/>
        <w:jc w:val="both"/>
        <w:rPr>
          <w:rFonts w:ascii="Calibri" w:hAnsi="Calibri" w:cs="Calibri"/>
          <w:color w:val="000000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 xml:space="preserve">sposób ustalania bonifikat za niedotrzymanie parametrów jakościowych energii elektrycznej </w:t>
      </w:r>
      <w:r w:rsidRPr="0020361E">
        <w:rPr>
          <w:rFonts w:ascii="Calibri" w:hAnsi="Calibri" w:cs="Calibri"/>
          <w:color w:val="000000"/>
          <w:sz w:val="20"/>
          <w:szCs w:val="20"/>
        </w:rPr>
        <w:br/>
        <w:t>i standardów jakościowych obsługi odbiorców</w:t>
      </w:r>
      <w:r>
        <w:rPr>
          <w:rFonts w:ascii="Calibri" w:hAnsi="Calibri" w:cs="Calibri"/>
          <w:color w:val="000000"/>
          <w:sz w:val="20"/>
          <w:szCs w:val="20"/>
        </w:rPr>
        <w:t>,</w:t>
      </w:r>
      <w:r w:rsidRPr="0020361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761A2F73" w14:textId="77777777" w:rsidR="000353A6" w:rsidRPr="0020361E" w:rsidRDefault="000353A6" w:rsidP="000353A6">
      <w:pPr>
        <w:numPr>
          <w:ilvl w:val="0"/>
          <w:numId w:val="57"/>
        </w:numPr>
        <w:autoSpaceDE w:val="0"/>
        <w:autoSpaceDN w:val="0"/>
        <w:adjustRightInd w:val="0"/>
        <w:spacing w:line="280" w:lineRule="exact"/>
        <w:ind w:left="1134" w:hanging="425"/>
        <w:jc w:val="both"/>
        <w:rPr>
          <w:rFonts w:ascii="Calibri" w:hAnsi="Calibri" w:cs="Calibri"/>
          <w:color w:val="000000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 xml:space="preserve">sposób ustalania opłat za: </w:t>
      </w:r>
    </w:p>
    <w:p w14:paraId="659B551F" w14:textId="77777777" w:rsidR="000353A6" w:rsidRPr="0020361E" w:rsidRDefault="000353A6" w:rsidP="000353A6">
      <w:pPr>
        <w:numPr>
          <w:ilvl w:val="0"/>
          <w:numId w:val="59"/>
        </w:numPr>
        <w:autoSpaceDE w:val="0"/>
        <w:autoSpaceDN w:val="0"/>
        <w:adjustRightInd w:val="0"/>
        <w:spacing w:line="280" w:lineRule="exact"/>
        <w:ind w:left="1560" w:hanging="426"/>
        <w:jc w:val="both"/>
        <w:rPr>
          <w:rFonts w:ascii="Calibri" w:hAnsi="Calibri" w:cs="Calibri"/>
          <w:color w:val="000000"/>
          <w:sz w:val="20"/>
          <w:szCs w:val="20"/>
        </w:rPr>
      </w:pPr>
      <w:proofErr w:type="spellStart"/>
      <w:r w:rsidRPr="0020361E">
        <w:rPr>
          <w:rFonts w:ascii="Calibri" w:hAnsi="Calibri" w:cs="Calibri"/>
          <w:color w:val="000000"/>
          <w:sz w:val="20"/>
          <w:szCs w:val="20"/>
        </w:rPr>
        <w:t>ponadumowny</w:t>
      </w:r>
      <w:proofErr w:type="spellEnd"/>
      <w:r w:rsidRPr="0020361E">
        <w:rPr>
          <w:rFonts w:ascii="Calibri" w:hAnsi="Calibri" w:cs="Calibri"/>
          <w:color w:val="000000"/>
          <w:sz w:val="20"/>
          <w:szCs w:val="20"/>
        </w:rPr>
        <w:t xml:space="preserve"> pobór energii biernej</w:t>
      </w:r>
      <w:r>
        <w:rPr>
          <w:rFonts w:ascii="Calibri" w:hAnsi="Calibri" w:cs="Calibri"/>
          <w:color w:val="000000"/>
          <w:sz w:val="20"/>
          <w:szCs w:val="20"/>
        </w:rPr>
        <w:t>,</w:t>
      </w:r>
      <w:r w:rsidRPr="0020361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131D7A54" w14:textId="77777777" w:rsidR="000353A6" w:rsidRPr="0020361E" w:rsidRDefault="000353A6" w:rsidP="000353A6">
      <w:pPr>
        <w:numPr>
          <w:ilvl w:val="0"/>
          <w:numId w:val="59"/>
        </w:numPr>
        <w:autoSpaceDE w:val="0"/>
        <w:autoSpaceDN w:val="0"/>
        <w:adjustRightInd w:val="0"/>
        <w:spacing w:line="280" w:lineRule="exact"/>
        <w:ind w:left="1560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>przekroczenia mocy umownej</w:t>
      </w:r>
      <w:r>
        <w:rPr>
          <w:rFonts w:ascii="Calibri" w:hAnsi="Calibri" w:cs="Calibri"/>
          <w:color w:val="000000"/>
          <w:sz w:val="20"/>
          <w:szCs w:val="20"/>
        </w:rPr>
        <w:t>,</w:t>
      </w:r>
      <w:r w:rsidRPr="0020361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6CEAA9DA" w14:textId="77777777" w:rsidR="000353A6" w:rsidRPr="0020361E" w:rsidRDefault="000353A6" w:rsidP="000353A6">
      <w:pPr>
        <w:numPr>
          <w:ilvl w:val="0"/>
          <w:numId w:val="59"/>
        </w:numPr>
        <w:autoSpaceDE w:val="0"/>
        <w:autoSpaceDN w:val="0"/>
        <w:adjustRightInd w:val="0"/>
        <w:spacing w:line="280" w:lineRule="exact"/>
        <w:ind w:left="1560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>nielegalny pobór energii elektrycznej</w:t>
      </w:r>
      <w:r>
        <w:rPr>
          <w:rFonts w:ascii="Calibri" w:hAnsi="Calibri" w:cs="Calibri"/>
          <w:color w:val="000000"/>
          <w:sz w:val="20"/>
          <w:szCs w:val="20"/>
        </w:rPr>
        <w:t>,</w:t>
      </w:r>
      <w:r w:rsidRPr="0020361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0182F906" w14:textId="77777777" w:rsidR="000353A6" w:rsidRPr="0020361E" w:rsidRDefault="000353A6" w:rsidP="000353A6">
      <w:pPr>
        <w:numPr>
          <w:ilvl w:val="0"/>
          <w:numId w:val="57"/>
        </w:numPr>
        <w:autoSpaceDE w:val="0"/>
        <w:autoSpaceDN w:val="0"/>
        <w:adjustRightInd w:val="0"/>
        <w:spacing w:line="280" w:lineRule="exact"/>
        <w:ind w:left="1134" w:hanging="425"/>
        <w:jc w:val="both"/>
        <w:rPr>
          <w:rFonts w:ascii="Calibri" w:hAnsi="Calibri" w:cs="Calibri"/>
          <w:color w:val="000000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>opłaty za usługi wykonywane na dodatkowe zlecenie odbiorcy</w:t>
      </w:r>
      <w:r>
        <w:rPr>
          <w:rFonts w:ascii="Calibri" w:hAnsi="Calibri" w:cs="Calibri"/>
          <w:color w:val="000000"/>
          <w:sz w:val="20"/>
          <w:szCs w:val="20"/>
        </w:rPr>
        <w:t>,</w:t>
      </w:r>
      <w:r w:rsidRPr="0020361E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18981327" w14:textId="77777777" w:rsidR="000353A6" w:rsidRPr="00A73BE6" w:rsidRDefault="000353A6" w:rsidP="000353A6">
      <w:pPr>
        <w:numPr>
          <w:ilvl w:val="0"/>
          <w:numId w:val="57"/>
        </w:numPr>
        <w:spacing w:line="280" w:lineRule="exact"/>
        <w:ind w:left="1134" w:hanging="425"/>
        <w:contextualSpacing/>
        <w:jc w:val="both"/>
        <w:rPr>
          <w:rFonts w:ascii="Calibri" w:hAnsi="Calibri" w:cs="Calibri"/>
          <w:sz w:val="20"/>
          <w:szCs w:val="20"/>
        </w:rPr>
      </w:pPr>
      <w:r w:rsidRPr="0020361E">
        <w:rPr>
          <w:rFonts w:ascii="Calibri" w:hAnsi="Calibri" w:cs="Calibri"/>
          <w:color w:val="000000"/>
          <w:sz w:val="20"/>
          <w:szCs w:val="20"/>
        </w:rPr>
        <w:t>opłaty za wznowienie dostarczania energii elektrycznej po wstrzymaniu jej dostaw.</w:t>
      </w:r>
    </w:p>
    <w:p w14:paraId="1D238CF2" w14:textId="1CB4B8C5" w:rsidR="000353A6" w:rsidRPr="009D1C07" w:rsidRDefault="000353A6" w:rsidP="000353A6">
      <w:pPr>
        <w:numPr>
          <w:ilvl w:val="1"/>
          <w:numId w:val="50"/>
        </w:numPr>
        <w:spacing w:line="276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lastRenderedPageBreak/>
        <w:t>Miejscem dostarczania energii elektrycznej jest jednocześnie miejscem rozgraniczenia własności sieci i instalacji pomiędzy siecią OSD, a punktem poboru energii elektrycznej. Szczegółowy opis miejsc dostarczania energii elektrycznej podany został dla każdego z punktów dostarczania energii.</w:t>
      </w:r>
    </w:p>
    <w:p w14:paraId="7848D63F" w14:textId="05A36F80" w:rsidR="000353A6" w:rsidRPr="00B27116" w:rsidRDefault="000353A6" w:rsidP="00B27116">
      <w:pPr>
        <w:numPr>
          <w:ilvl w:val="1"/>
          <w:numId w:val="50"/>
        </w:numPr>
        <w:spacing w:line="276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 xml:space="preserve">Przedmiot zamówienia obejmuje świadczenie usługi kompleksowej do </w:t>
      </w:r>
      <w:r w:rsidR="00B27116">
        <w:rPr>
          <w:rFonts w:ascii="Calibri" w:hAnsi="Calibri" w:cs="Calibri"/>
          <w:sz w:val="20"/>
          <w:szCs w:val="20"/>
        </w:rPr>
        <w:t>obiektu</w:t>
      </w:r>
      <w:r w:rsidRPr="009D1C07">
        <w:rPr>
          <w:rFonts w:ascii="Calibri" w:hAnsi="Calibri" w:cs="Calibri"/>
          <w:sz w:val="20"/>
          <w:szCs w:val="20"/>
        </w:rPr>
        <w:t xml:space="preserve"> Wojewódzkiego Urzędu Pracy w Poznaniu, w następując</w:t>
      </w:r>
      <w:r w:rsidR="00B27116">
        <w:rPr>
          <w:rFonts w:ascii="Calibri" w:hAnsi="Calibri" w:cs="Calibri"/>
          <w:sz w:val="20"/>
          <w:szCs w:val="20"/>
        </w:rPr>
        <w:t>ej</w:t>
      </w:r>
      <w:r w:rsidRPr="009D1C07">
        <w:rPr>
          <w:rFonts w:ascii="Calibri" w:hAnsi="Calibri" w:cs="Calibri"/>
          <w:sz w:val="20"/>
          <w:szCs w:val="20"/>
        </w:rPr>
        <w:t xml:space="preserve"> lokalizacj</w:t>
      </w:r>
      <w:r w:rsidR="00B27116">
        <w:rPr>
          <w:rFonts w:ascii="Calibri" w:hAnsi="Calibri" w:cs="Calibri"/>
          <w:sz w:val="20"/>
          <w:szCs w:val="20"/>
        </w:rPr>
        <w:t>i</w:t>
      </w:r>
      <w:r w:rsidRPr="009D1C07">
        <w:rPr>
          <w:rFonts w:ascii="Calibri" w:hAnsi="Calibri" w:cs="Calibri"/>
          <w:sz w:val="20"/>
          <w:szCs w:val="20"/>
        </w:rPr>
        <w:t>:</w:t>
      </w:r>
      <w:r w:rsidR="00B27116">
        <w:rPr>
          <w:rFonts w:ascii="Calibri" w:hAnsi="Calibri" w:cs="Calibri"/>
          <w:sz w:val="20"/>
          <w:szCs w:val="20"/>
        </w:rPr>
        <w:t xml:space="preserve"> a</w:t>
      </w:r>
      <w:r w:rsidRPr="00B27116">
        <w:rPr>
          <w:rFonts w:ascii="Calibri" w:hAnsi="Calibri" w:cs="Calibri"/>
          <w:sz w:val="20"/>
          <w:szCs w:val="20"/>
        </w:rPr>
        <w:t>l. Niepodległości 24, 64-920 Piła (grupa taryfowa C22A)</w:t>
      </w:r>
      <w:r w:rsidR="00B27116">
        <w:rPr>
          <w:rFonts w:ascii="Calibri" w:hAnsi="Calibri" w:cs="Calibri"/>
          <w:sz w:val="20"/>
          <w:szCs w:val="20"/>
        </w:rPr>
        <w:t>.</w:t>
      </w:r>
    </w:p>
    <w:p w14:paraId="28793B58" w14:textId="77777777" w:rsidR="000353A6" w:rsidRPr="009D1C07" w:rsidRDefault="000353A6" w:rsidP="000353A6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DE67A61" w14:textId="464ABB3A" w:rsidR="000353A6" w:rsidRPr="009D1C07" w:rsidRDefault="000353A6" w:rsidP="000353A6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 xml:space="preserve">Szacunkowe zużycie energii </w:t>
      </w:r>
      <w:r w:rsidR="00B27116">
        <w:rPr>
          <w:rFonts w:ascii="Calibri" w:hAnsi="Calibri" w:cs="Calibri"/>
          <w:sz w:val="20"/>
          <w:szCs w:val="20"/>
        </w:rPr>
        <w:t>za okres 01.09.2023 r.-31.08.2024 r.</w:t>
      </w:r>
      <w:r w:rsidRPr="009D1C07">
        <w:rPr>
          <w:rFonts w:ascii="Calibri" w:hAnsi="Calibri" w:cs="Calibri"/>
          <w:sz w:val="20"/>
          <w:szCs w:val="20"/>
        </w:rPr>
        <w:t>:</w:t>
      </w:r>
    </w:p>
    <w:tbl>
      <w:tblPr>
        <w:tblW w:w="9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7"/>
        <w:gridCol w:w="2409"/>
        <w:gridCol w:w="3902"/>
      </w:tblGrid>
      <w:tr w:rsidR="000353A6" w:rsidRPr="009D1C07" w14:paraId="68A9E371" w14:textId="77777777" w:rsidTr="000601AF">
        <w:trPr>
          <w:jc w:val="center"/>
        </w:trPr>
        <w:tc>
          <w:tcPr>
            <w:tcW w:w="2707" w:type="dxa"/>
            <w:shd w:val="clear" w:color="auto" w:fill="D9D9D9"/>
            <w:vAlign w:val="center"/>
          </w:tcPr>
          <w:p w14:paraId="1DF1CC28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D1C07">
              <w:rPr>
                <w:rFonts w:ascii="Calibri" w:hAnsi="Calibri" w:cs="Calibri"/>
                <w:b/>
                <w:sz w:val="20"/>
                <w:szCs w:val="20"/>
              </w:rPr>
              <w:t>Oddział Zamiejscowy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6031EA1A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D1C07">
              <w:rPr>
                <w:rFonts w:ascii="Calibri" w:hAnsi="Calibri" w:cs="Calibri"/>
                <w:b/>
                <w:sz w:val="20"/>
                <w:szCs w:val="20"/>
              </w:rPr>
              <w:t>Rodzaj</w:t>
            </w:r>
          </w:p>
        </w:tc>
        <w:tc>
          <w:tcPr>
            <w:tcW w:w="3902" w:type="dxa"/>
            <w:shd w:val="clear" w:color="auto" w:fill="D9D9D9"/>
            <w:vAlign w:val="center"/>
          </w:tcPr>
          <w:p w14:paraId="75EEE3E6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D1C07">
              <w:rPr>
                <w:rFonts w:ascii="Calibri" w:hAnsi="Calibri" w:cs="Calibri"/>
                <w:b/>
                <w:sz w:val="20"/>
                <w:szCs w:val="20"/>
              </w:rPr>
              <w:t>Szacunkowa moc (MWh)</w:t>
            </w:r>
          </w:p>
        </w:tc>
      </w:tr>
      <w:tr w:rsidR="000353A6" w:rsidRPr="009D1C07" w14:paraId="7FF5A1F0" w14:textId="77777777" w:rsidTr="000601AF">
        <w:trPr>
          <w:jc w:val="center"/>
        </w:trPr>
        <w:tc>
          <w:tcPr>
            <w:tcW w:w="2707" w:type="dxa"/>
            <w:shd w:val="clear" w:color="auto" w:fill="auto"/>
            <w:vAlign w:val="center"/>
          </w:tcPr>
          <w:p w14:paraId="58874DAD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sz w:val="20"/>
                <w:szCs w:val="20"/>
              </w:rPr>
              <w:t>Al. Niepodległości 24</w:t>
            </w:r>
            <w:r w:rsidRPr="009D1C07">
              <w:rPr>
                <w:rFonts w:ascii="Calibri" w:hAnsi="Calibri" w:cs="Calibri"/>
                <w:sz w:val="20"/>
                <w:szCs w:val="20"/>
              </w:rPr>
              <w:br/>
              <w:t>64-920 Piła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9BBC7B4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bCs/>
                <w:sz w:val="20"/>
                <w:szCs w:val="20"/>
              </w:rPr>
              <w:t>Energia 2 taryfowa</w:t>
            </w:r>
          </w:p>
        </w:tc>
        <w:tc>
          <w:tcPr>
            <w:tcW w:w="3902" w:type="dxa"/>
            <w:shd w:val="clear" w:color="auto" w:fill="auto"/>
            <w:vAlign w:val="center"/>
          </w:tcPr>
          <w:p w14:paraId="13E926C6" w14:textId="6EE4249A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sz w:val="20"/>
                <w:szCs w:val="20"/>
              </w:rPr>
              <w:t xml:space="preserve">Strefa I (szczytowa)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D1C07">
              <w:rPr>
                <w:rFonts w:ascii="Calibri" w:hAnsi="Calibri" w:cs="Calibri"/>
                <w:sz w:val="20"/>
                <w:szCs w:val="20"/>
              </w:rPr>
              <w:t xml:space="preserve"> –   </w:t>
            </w:r>
            <w:r w:rsidR="00B27116">
              <w:rPr>
                <w:rFonts w:ascii="Calibri" w:hAnsi="Calibri" w:cs="Calibri"/>
                <w:sz w:val="20"/>
                <w:szCs w:val="20"/>
              </w:rPr>
              <w:t>16,753</w:t>
            </w:r>
          </w:p>
          <w:p w14:paraId="7281405C" w14:textId="25729FE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sz w:val="20"/>
                <w:szCs w:val="20"/>
              </w:rPr>
              <w:t xml:space="preserve">Strefa II (pozaszczytowa) – </w:t>
            </w:r>
            <w:r w:rsidR="00B27116">
              <w:rPr>
                <w:rFonts w:ascii="Calibri" w:hAnsi="Calibri" w:cs="Calibri"/>
                <w:sz w:val="20"/>
                <w:szCs w:val="20"/>
              </w:rPr>
              <w:t xml:space="preserve">  44,433</w:t>
            </w:r>
          </w:p>
          <w:p w14:paraId="638EFFBB" w14:textId="42D6796D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sz w:val="20"/>
                <w:szCs w:val="20"/>
              </w:rPr>
              <w:t xml:space="preserve">Razem                        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9D1C07">
              <w:rPr>
                <w:rFonts w:ascii="Calibri" w:hAnsi="Calibri" w:cs="Calibri"/>
                <w:sz w:val="20"/>
                <w:szCs w:val="20"/>
              </w:rPr>
              <w:t xml:space="preserve">– </w:t>
            </w:r>
            <w:r w:rsidR="00B27116">
              <w:rPr>
                <w:rFonts w:ascii="Calibri" w:hAnsi="Calibri" w:cs="Calibri"/>
                <w:sz w:val="20"/>
                <w:szCs w:val="20"/>
              </w:rPr>
              <w:t xml:space="preserve">  61,186</w:t>
            </w:r>
          </w:p>
        </w:tc>
      </w:tr>
    </w:tbl>
    <w:p w14:paraId="69DBF079" w14:textId="77777777" w:rsidR="000353A6" w:rsidRPr="009D1C07" w:rsidRDefault="000353A6" w:rsidP="000353A6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35A54559" w14:textId="77777777" w:rsidR="000353A6" w:rsidRPr="009D1C07" w:rsidRDefault="000353A6" w:rsidP="000353A6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Wskazane powyżej wielkości mają charakter orientacyjny, służą do porównania ofert i nie stanowią ze strony Zamawiającego zobowiązania do zakupu energii w podanej ilości w żadnym razie nie mogą być podstawą jakichkolwiek roszczeń ze strony Wykonawcy. Rzeczywiste rozliczenia za sprzedaż i dystrybucję energii elektrycznej odbywać się będą na podstawie bieżących wskazań układów pomiarowo-rozliczeniowych, wg stawek opłat wynikających z oferty Wykonawcy.</w:t>
      </w:r>
    </w:p>
    <w:p w14:paraId="206236AF" w14:textId="77777777" w:rsidR="000353A6" w:rsidRDefault="000353A6" w:rsidP="000353A6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A694BBA" w14:textId="54D0C7B4" w:rsidR="000353A6" w:rsidRPr="009D1C07" w:rsidRDefault="000353A6" w:rsidP="00B27116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9D1C07">
        <w:rPr>
          <w:rFonts w:ascii="Calibri" w:hAnsi="Calibri" w:cs="Calibri"/>
          <w:b/>
          <w:sz w:val="20"/>
          <w:szCs w:val="20"/>
        </w:rPr>
        <w:t>2. Charakterystyka techniczna</w:t>
      </w:r>
    </w:p>
    <w:p w14:paraId="348B0526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Licznik nr 51161173</w:t>
      </w:r>
    </w:p>
    <w:p w14:paraId="54514FE8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Układ 3 fazowy</w:t>
      </w:r>
    </w:p>
    <w:p w14:paraId="4E734D99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Przekładniki prądowe: 100A/5A</w:t>
      </w:r>
    </w:p>
    <w:p w14:paraId="3874CA03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Kod PPE: 590310600018930612</w:t>
      </w:r>
    </w:p>
    <w:p w14:paraId="7376B05A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 xml:space="preserve">Napięcie sieci wewnętrznych zamawiającego: 0,4 </w:t>
      </w:r>
      <w:proofErr w:type="spellStart"/>
      <w:r w:rsidRPr="009D1C07">
        <w:rPr>
          <w:rFonts w:ascii="Calibri" w:hAnsi="Calibri" w:cs="Calibri"/>
          <w:sz w:val="20"/>
          <w:szCs w:val="20"/>
        </w:rPr>
        <w:t>kV</w:t>
      </w:r>
      <w:proofErr w:type="spellEnd"/>
    </w:p>
    <w:p w14:paraId="2B584FAD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System ochrony dodatkowej od porażeń: samoczynne szybkie wyłączanie zasilania</w:t>
      </w:r>
    </w:p>
    <w:p w14:paraId="75F577BC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Lokalizacja układu pomiarowego szafa bezpiecznikowo - licznikowa</w:t>
      </w:r>
    </w:p>
    <w:p w14:paraId="64FF69F8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Typ układu pomiarowo - rozliczeniowego: pośredni</w:t>
      </w:r>
    </w:p>
    <w:p w14:paraId="359146E8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Układ pomiarowo- rozliczeniowy stanowi własność dotychczasowego OSD</w:t>
      </w:r>
    </w:p>
    <w:p w14:paraId="2159F6C5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Grupa przyłączeniowa: IV</w:t>
      </w:r>
    </w:p>
    <w:p w14:paraId="135C97CB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Wartość współczynnika mocy tgɸ</w:t>
      </w:r>
      <w:r w:rsidRPr="009D1C07">
        <w:rPr>
          <w:rFonts w:ascii="Calibri" w:hAnsi="Calibri" w:cs="Calibri"/>
          <w:sz w:val="20"/>
          <w:szCs w:val="20"/>
          <w:vertAlign w:val="subscript"/>
        </w:rPr>
        <w:t>0</w:t>
      </w:r>
      <w:r w:rsidRPr="009D1C07">
        <w:rPr>
          <w:rFonts w:ascii="Calibri" w:hAnsi="Calibri" w:cs="Calibri"/>
          <w:sz w:val="20"/>
          <w:szCs w:val="20"/>
        </w:rPr>
        <w:t>: 0,4</w:t>
      </w:r>
    </w:p>
    <w:p w14:paraId="6238115F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Okres przyłączenia: nieokreślony</w:t>
      </w:r>
    </w:p>
    <w:p w14:paraId="1BFF666B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Układ transmisji danych pomiarowych: własność OSD</w:t>
      </w:r>
    </w:p>
    <w:p w14:paraId="3008E8D8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Moc minimalna: 14 kW</w:t>
      </w:r>
    </w:p>
    <w:p w14:paraId="60D9755E" w14:textId="77777777" w:rsidR="000353A6" w:rsidRPr="009D1C07" w:rsidRDefault="000353A6" w:rsidP="000353A6">
      <w:pPr>
        <w:numPr>
          <w:ilvl w:val="0"/>
          <w:numId w:val="5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 xml:space="preserve">Pomiar pobieranej mocy oraz energii elektrycznej na poziomie napięcia: 0,4 </w:t>
      </w:r>
      <w:proofErr w:type="spellStart"/>
      <w:r w:rsidRPr="009D1C07">
        <w:rPr>
          <w:rFonts w:ascii="Calibri" w:hAnsi="Calibri" w:cs="Calibri"/>
          <w:sz w:val="20"/>
          <w:szCs w:val="20"/>
        </w:rPr>
        <w:t>kV</w:t>
      </w:r>
      <w:proofErr w:type="spellEnd"/>
    </w:p>
    <w:p w14:paraId="11787B41" w14:textId="77777777" w:rsidR="000353A6" w:rsidRPr="009D1C07" w:rsidRDefault="000353A6" w:rsidP="000353A6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104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3260"/>
        <w:gridCol w:w="1843"/>
        <w:gridCol w:w="1818"/>
      </w:tblGrid>
      <w:tr w:rsidR="000353A6" w:rsidRPr="009D1C07" w14:paraId="22930FA1" w14:textId="77777777" w:rsidTr="000601AF">
        <w:tc>
          <w:tcPr>
            <w:tcW w:w="1134" w:type="dxa"/>
            <w:shd w:val="clear" w:color="auto" w:fill="D9D9D9"/>
            <w:vAlign w:val="center"/>
          </w:tcPr>
          <w:p w14:paraId="561D39DD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D1C07">
              <w:rPr>
                <w:rFonts w:ascii="Calibri" w:hAnsi="Calibri" w:cs="Calibri"/>
                <w:b/>
                <w:sz w:val="20"/>
                <w:szCs w:val="20"/>
              </w:rPr>
              <w:t>Napięcie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A41B78A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D1C07">
              <w:rPr>
                <w:rFonts w:ascii="Calibri" w:hAnsi="Calibri" w:cs="Calibri"/>
                <w:b/>
                <w:sz w:val="20"/>
                <w:szCs w:val="20"/>
              </w:rPr>
              <w:t>Nr stacji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062B0453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D1C07">
              <w:rPr>
                <w:rFonts w:ascii="Calibri" w:hAnsi="Calibri" w:cs="Calibri"/>
                <w:b/>
                <w:sz w:val="20"/>
                <w:szCs w:val="20"/>
              </w:rPr>
              <w:t>Typ przyłącza (przekrój długość)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3B5199CD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D1C07">
              <w:rPr>
                <w:rFonts w:ascii="Calibri" w:hAnsi="Calibri" w:cs="Calibri"/>
                <w:b/>
                <w:sz w:val="20"/>
                <w:szCs w:val="20"/>
              </w:rPr>
              <w:t>Granica własności (miejsce dostarczania energii elektrycznej)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4862969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D1C07">
              <w:rPr>
                <w:rFonts w:ascii="Calibri" w:hAnsi="Calibri" w:cs="Calibri"/>
                <w:b/>
                <w:sz w:val="20"/>
                <w:szCs w:val="20"/>
              </w:rPr>
              <w:t>Moc przyłączeniowa</w:t>
            </w:r>
          </w:p>
        </w:tc>
        <w:tc>
          <w:tcPr>
            <w:tcW w:w="1818" w:type="dxa"/>
            <w:shd w:val="clear" w:color="auto" w:fill="D9D9D9"/>
            <w:vAlign w:val="center"/>
          </w:tcPr>
          <w:p w14:paraId="69EF761C" w14:textId="77777777" w:rsidR="000353A6" w:rsidRPr="009D1C07" w:rsidRDefault="000353A6" w:rsidP="000601A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D1C07">
              <w:rPr>
                <w:rFonts w:ascii="Calibri" w:hAnsi="Calibri" w:cs="Calibri"/>
                <w:b/>
                <w:sz w:val="20"/>
                <w:szCs w:val="20"/>
              </w:rPr>
              <w:t>Moc umowna</w:t>
            </w:r>
          </w:p>
        </w:tc>
      </w:tr>
      <w:tr w:rsidR="000353A6" w:rsidRPr="009D1C07" w14:paraId="3A151B5D" w14:textId="77777777" w:rsidTr="000601AF">
        <w:tc>
          <w:tcPr>
            <w:tcW w:w="1134" w:type="dxa"/>
            <w:shd w:val="clear" w:color="auto" w:fill="auto"/>
            <w:vAlign w:val="center"/>
          </w:tcPr>
          <w:p w14:paraId="7ECB45D6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sz w:val="20"/>
                <w:szCs w:val="20"/>
              </w:rPr>
              <w:t>0,4kV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432557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sz w:val="20"/>
                <w:szCs w:val="20"/>
              </w:rPr>
              <w:t>086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FC6B86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sz w:val="20"/>
                <w:szCs w:val="20"/>
              </w:rPr>
              <w:t>YAKY 4x120, 100m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B5C340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sz w:val="20"/>
                <w:szCs w:val="20"/>
              </w:rPr>
              <w:t xml:space="preserve">Zaciski na wyjściu przewodów od zabezpieczenia </w:t>
            </w:r>
            <w:r w:rsidRPr="009D1C07">
              <w:rPr>
                <w:rFonts w:ascii="Calibri" w:hAnsi="Calibri" w:cs="Calibri"/>
                <w:sz w:val="20"/>
                <w:szCs w:val="20"/>
              </w:rPr>
              <w:br/>
              <w:t>w złączu kablowym w kierunku instalacji odbiorcy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106AB4" w14:textId="77777777" w:rsidR="000353A6" w:rsidRPr="009D1C07" w:rsidRDefault="000353A6" w:rsidP="000601AF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sz w:val="20"/>
                <w:szCs w:val="20"/>
              </w:rPr>
              <w:t>45 kW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FDA705B" w14:textId="77777777" w:rsidR="000353A6" w:rsidRPr="009D1C07" w:rsidRDefault="000353A6" w:rsidP="000601AF">
            <w:pPr>
              <w:rPr>
                <w:rFonts w:ascii="Calibri" w:hAnsi="Calibri" w:cs="Calibri"/>
                <w:sz w:val="20"/>
                <w:szCs w:val="20"/>
              </w:rPr>
            </w:pPr>
            <w:r w:rsidRPr="009D1C07">
              <w:rPr>
                <w:rFonts w:ascii="Calibri" w:hAnsi="Calibri" w:cs="Calibri"/>
                <w:sz w:val="20"/>
                <w:szCs w:val="20"/>
              </w:rPr>
              <w:t>45 kW</w:t>
            </w:r>
          </w:p>
        </w:tc>
      </w:tr>
    </w:tbl>
    <w:p w14:paraId="56C7A37D" w14:textId="77777777" w:rsidR="000353A6" w:rsidRPr="009D1C07" w:rsidRDefault="000353A6" w:rsidP="000353A6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5E22502F" w14:textId="36DBD500" w:rsidR="000353A6" w:rsidRPr="009D1C07" w:rsidRDefault="000353A6" w:rsidP="000353A6">
      <w:p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9D1C07">
        <w:rPr>
          <w:rFonts w:ascii="Calibri" w:hAnsi="Calibri" w:cs="Calibri"/>
          <w:b/>
          <w:sz w:val="20"/>
          <w:szCs w:val="20"/>
        </w:rPr>
        <w:t>3. Wymagania dostarczania energii elektrycznej</w:t>
      </w:r>
    </w:p>
    <w:p w14:paraId="656AF55C" w14:textId="581FAA58" w:rsidR="000353A6" w:rsidRPr="009D1C07" w:rsidRDefault="000353A6" w:rsidP="000353A6">
      <w:pPr>
        <w:numPr>
          <w:ilvl w:val="1"/>
          <w:numId w:val="5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Zamawiający wymaga, aby we wszystkich lokalizacjach układy pomiarowo-rozliczeniowe stanowiły własność Dystrybutora energii. Dotyczy to także dostosowania układów pomiarowo-</w:t>
      </w:r>
      <w:r w:rsidRPr="009D1C07">
        <w:rPr>
          <w:rFonts w:ascii="Calibri" w:hAnsi="Calibri" w:cs="Calibri"/>
          <w:sz w:val="20"/>
          <w:szCs w:val="20"/>
        </w:rPr>
        <w:lastRenderedPageBreak/>
        <w:t>rozliczeniowych do zdalnego odczytu zużycia energii w obiektach, będących przedmiotem niniejszego postępowania.</w:t>
      </w:r>
    </w:p>
    <w:p w14:paraId="5353C5E7" w14:textId="77777777" w:rsidR="000353A6" w:rsidRPr="009D1C07" w:rsidRDefault="000353A6" w:rsidP="000353A6">
      <w:pPr>
        <w:numPr>
          <w:ilvl w:val="1"/>
          <w:numId w:val="5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 xml:space="preserve">Rozliczanie zobowiązań odbywać się będzie według układu pomiarowo-rozliczeniowego. </w:t>
      </w:r>
    </w:p>
    <w:p w14:paraId="4FDC15F2" w14:textId="77777777" w:rsidR="000353A6" w:rsidRPr="009D1C07" w:rsidRDefault="000353A6" w:rsidP="000353A6">
      <w:pPr>
        <w:numPr>
          <w:ilvl w:val="1"/>
          <w:numId w:val="5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Wykonawca gwarantuje świadczenie (w ramach zawartej umowy kompleksowej) usługi bilansowania handlowego.</w:t>
      </w:r>
    </w:p>
    <w:p w14:paraId="4942B563" w14:textId="77777777" w:rsidR="000353A6" w:rsidRPr="009D1C07" w:rsidRDefault="000353A6" w:rsidP="000353A6">
      <w:pPr>
        <w:numPr>
          <w:ilvl w:val="1"/>
          <w:numId w:val="51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Wykonawca zapewni właściwe parametry dostarczanej energii oraz odpowiednio wysokie standardy obsługi dystrybucji związane z dostawą energii elektrycznej do Zamawiającego.</w:t>
      </w:r>
    </w:p>
    <w:p w14:paraId="1F3573F4" w14:textId="2424ECBA" w:rsidR="000353A6" w:rsidRPr="009D1C07" w:rsidRDefault="000353A6" w:rsidP="00B27116">
      <w:pPr>
        <w:numPr>
          <w:ilvl w:val="1"/>
          <w:numId w:val="51"/>
        </w:numPr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9D1C07">
        <w:rPr>
          <w:rFonts w:ascii="Calibri" w:hAnsi="Calibri" w:cs="Calibri"/>
          <w:sz w:val="20"/>
          <w:szCs w:val="20"/>
        </w:rPr>
        <w:t>Wykonawca zapewni, że wykona przedmiot zamówienia w sposób zgodny z obowiązującym prawem, a w szczególności z następującymi aktami prawnymi: ustaw</w:t>
      </w:r>
      <w:r w:rsidR="00AF4BF9">
        <w:rPr>
          <w:rFonts w:ascii="Calibri" w:hAnsi="Calibri" w:cs="Calibri"/>
          <w:sz w:val="20"/>
          <w:szCs w:val="20"/>
        </w:rPr>
        <w:t>ą</w:t>
      </w:r>
      <w:r w:rsidRPr="009D1C07">
        <w:rPr>
          <w:rFonts w:ascii="Calibri" w:hAnsi="Calibri" w:cs="Calibri"/>
          <w:sz w:val="20"/>
          <w:szCs w:val="20"/>
        </w:rPr>
        <w:t xml:space="preserve"> z dnia 10 kwietnia 1997 r. - Prawo energetyczne (</w:t>
      </w:r>
      <w:r w:rsidR="00B27116" w:rsidRPr="00E209C5">
        <w:rPr>
          <w:rFonts w:ascii="Calibri" w:hAnsi="Calibri" w:cs="Calibri"/>
          <w:sz w:val="20"/>
          <w:szCs w:val="20"/>
        </w:rPr>
        <w:t>Dz.U. 202</w:t>
      </w:r>
      <w:r w:rsidR="00B27116">
        <w:rPr>
          <w:rFonts w:ascii="Calibri" w:hAnsi="Calibri" w:cs="Calibri"/>
          <w:sz w:val="20"/>
          <w:szCs w:val="20"/>
        </w:rPr>
        <w:t>4</w:t>
      </w:r>
      <w:r w:rsidR="00B27116" w:rsidRPr="00E209C5">
        <w:rPr>
          <w:rFonts w:ascii="Calibri" w:hAnsi="Calibri" w:cs="Calibri"/>
          <w:sz w:val="20"/>
          <w:szCs w:val="20"/>
        </w:rPr>
        <w:t xml:space="preserve"> r. </w:t>
      </w:r>
      <w:r w:rsidR="00B27116">
        <w:rPr>
          <w:rFonts w:ascii="Calibri" w:hAnsi="Calibri" w:cs="Calibri"/>
          <w:sz w:val="20"/>
          <w:szCs w:val="20"/>
        </w:rPr>
        <w:t>poz. 266</w:t>
      </w:r>
      <w:r w:rsidRPr="009D1C07">
        <w:rPr>
          <w:rFonts w:ascii="Calibri" w:hAnsi="Calibri" w:cs="Calibri"/>
          <w:sz w:val="20"/>
          <w:szCs w:val="20"/>
        </w:rPr>
        <w:t xml:space="preserve">) wraz z aktami wykonawczymi ze zmianami, Instrukcją Ruchu i Eksploatacji Sieci Dystrybucyjnej (w skrócie </w:t>
      </w:r>
      <w:proofErr w:type="spellStart"/>
      <w:r w:rsidRPr="009D1C07">
        <w:rPr>
          <w:rFonts w:ascii="Calibri" w:hAnsi="Calibri" w:cs="Calibri"/>
          <w:sz w:val="20"/>
          <w:szCs w:val="20"/>
        </w:rPr>
        <w:t>IRiESD</w:t>
      </w:r>
      <w:proofErr w:type="spellEnd"/>
      <w:r w:rsidRPr="009D1C07">
        <w:rPr>
          <w:rFonts w:ascii="Calibri" w:hAnsi="Calibri" w:cs="Calibri"/>
          <w:sz w:val="20"/>
          <w:szCs w:val="20"/>
        </w:rPr>
        <w:t>), zawierając</w:t>
      </w:r>
      <w:r w:rsidR="00AF4BF9">
        <w:rPr>
          <w:rFonts w:ascii="Calibri" w:hAnsi="Calibri" w:cs="Calibri"/>
          <w:sz w:val="20"/>
          <w:szCs w:val="20"/>
        </w:rPr>
        <w:t>ą</w:t>
      </w:r>
      <w:r w:rsidRPr="009D1C07">
        <w:rPr>
          <w:rFonts w:ascii="Calibri" w:hAnsi="Calibri" w:cs="Calibri"/>
          <w:sz w:val="20"/>
          <w:szCs w:val="20"/>
        </w:rPr>
        <w:t xml:space="preserve"> część ogólną </w:t>
      </w:r>
      <w:r w:rsidR="00B27116">
        <w:rPr>
          <w:rFonts w:ascii="Calibri" w:hAnsi="Calibri" w:cs="Calibri"/>
          <w:sz w:val="20"/>
          <w:szCs w:val="20"/>
        </w:rPr>
        <w:br/>
      </w:r>
      <w:r w:rsidRPr="009D1C07">
        <w:rPr>
          <w:rFonts w:ascii="Calibri" w:hAnsi="Calibri" w:cs="Calibri"/>
          <w:sz w:val="20"/>
          <w:szCs w:val="20"/>
        </w:rPr>
        <w:t>i szczegółową wraz ze zmianami.</w:t>
      </w:r>
    </w:p>
    <w:p w14:paraId="60AE1B13" w14:textId="3CF533D6" w:rsidR="000353A6" w:rsidRPr="009D1C07" w:rsidRDefault="000353A6" w:rsidP="000353A6">
      <w:pPr>
        <w:numPr>
          <w:ilvl w:val="1"/>
          <w:numId w:val="51"/>
        </w:numPr>
        <w:suppressAutoHyphens/>
        <w:spacing w:line="276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 w:rsidRPr="009D1C07">
        <w:rPr>
          <w:rFonts w:ascii="Calibri" w:hAnsi="Calibri" w:cs="Calibri"/>
          <w:sz w:val="20"/>
          <w:szCs w:val="20"/>
        </w:rPr>
        <w:t>Zamawiający nie wypowiedział dotychczas obowiązując</w:t>
      </w:r>
      <w:r w:rsidR="0093607C">
        <w:rPr>
          <w:rFonts w:ascii="Calibri" w:hAnsi="Calibri" w:cs="Calibri"/>
          <w:sz w:val="20"/>
          <w:szCs w:val="20"/>
        </w:rPr>
        <w:t>ej</w:t>
      </w:r>
      <w:r w:rsidRPr="009D1C07">
        <w:rPr>
          <w:rFonts w:ascii="Calibri" w:hAnsi="Calibri" w:cs="Calibri"/>
          <w:sz w:val="20"/>
          <w:szCs w:val="20"/>
        </w:rPr>
        <w:t xml:space="preserve"> Um</w:t>
      </w:r>
      <w:r w:rsidR="0093607C">
        <w:rPr>
          <w:rFonts w:ascii="Calibri" w:hAnsi="Calibri" w:cs="Calibri"/>
          <w:sz w:val="20"/>
          <w:szCs w:val="20"/>
        </w:rPr>
        <w:t>owy</w:t>
      </w:r>
      <w:r w:rsidRPr="009D1C07">
        <w:rPr>
          <w:rFonts w:ascii="Calibri" w:hAnsi="Calibri" w:cs="Calibri"/>
          <w:sz w:val="20"/>
          <w:szCs w:val="20"/>
        </w:rPr>
        <w:t xml:space="preserve"> na sprzedaż i dystrybucję energii elektrycznej do Obiekt</w:t>
      </w:r>
      <w:r w:rsidR="0093607C">
        <w:rPr>
          <w:rFonts w:ascii="Calibri" w:hAnsi="Calibri" w:cs="Calibri"/>
          <w:sz w:val="20"/>
          <w:szCs w:val="20"/>
        </w:rPr>
        <w:t>u</w:t>
      </w:r>
      <w:r w:rsidRPr="009D1C07">
        <w:rPr>
          <w:rFonts w:ascii="Calibri" w:hAnsi="Calibri" w:cs="Calibri"/>
          <w:sz w:val="20"/>
          <w:szCs w:val="20"/>
        </w:rPr>
        <w:t xml:space="preserve"> Zamawiającego, gdyż </w:t>
      </w:r>
      <w:r w:rsidR="0093607C">
        <w:rPr>
          <w:rFonts w:ascii="Calibri" w:hAnsi="Calibri" w:cs="Calibri"/>
          <w:sz w:val="20"/>
          <w:szCs w:val="20"/>
        </w:rPr>
        <w:t xml:space="preserve">jest ona </w:t>
      </w:r>
      <w:r w:rsidRPr="009D1C07">
        <w:rPr>
          <w:rFonts w:ascii="Calibri" w:hAnsi="Calibri" w:cs="Calibri"/>
          <w:sz w:val="20"/>
          <w:szCs w:val="20"/>
        </w:rPr>
        <w:t>zawart</w:t>
      </w:r>
      <w:r w:rsidR="0093607C">
        <w:rPr>
          <w:rFonts w:ascii="Calibri" w:hAnsi="Calibri" w:cs="Calibri"/>
          <w:sz w:val="20"/>
          <w:szCs w:val="20"/>
        </w:rPr>
        <w:t xml:space="preserve">a </w:t>
      </w:r>
      <w:r w:rsidRPr="009D1C07">
        <w:rPr>
          <w:rFonts w:ascii="Calibri" w:hAnsi="Calibri" w:cs="Calibri"/>
          <w:sz w:val="20"/>
          <w:szCs w:val="20"/>
        </w:rPr>
        <w:t>na czas określony do dnia 31.12.202</w:t>
      </w:r>
      <w:r w:rsidR="00B27116">
        <w:rPr>
          <w:rFonts w:ascii="Calibri" w:hAnsi="Calibri" w:cs="Calibri"/>
          <w:sz w:val="20"/>
          <w:szCs w:val="20"/>
        </w:rPr>
        <w:t>4</w:t>
      </w:r>
      <w:r w:rsidRPr="009D1C07">
        <w:rPr>
          <w:rFonts w:ascii="Calibri" w:hAnsi="Calibri" w:cs="Calibri"/>
          <w:sz w:val="20"/>
          <w:szCs w:val="20"/>
        </w:rPr>
        <w:t xml:space="preserve"> r.</w:t>
      </w:r>
    </w:p>
    <w:p w14:paraId="12519407" w14:textId="25D25E6D" w:rsidR="000353A6" w:rsidRDefault="000353A6" w:rsidP="000353A6">
      <w:pPr>
        <w:numPr>
          <w:ilvl w:val="1"/>
          <w:numId w:val="51"/>
        </w:numPr>
        <w:tabs>
          <w:tab w:val="left" w:pos="0"/>
        </w:tabs>
        <w:suppressAutoHyphens/>
        <w:spacing w:line="276" w:lineRule="auto"/>
        <w:jc w:val="both"/>
        <w:rPr>
          <w:rFonts w:ascii="Calibri" w:hAnsi="Calibri" w:cs="Calibri"/>
          <w:sz w:val="20"/>
          <w:szCs w:val="20"/>
          <w:lang w:eastAsia="ar-SA"/>
        </w:rPr>
      </w:pPr>
      <w:r w:rsidRPr="009D1C07">
        <w:rPr>
          <w:rFonts w:ascii="Calibri" w:hAnsi="Calibri" w:cs="Calibri"/>
          <w:sz w:val="20"/>
          <w:szCs w:val="20"/>
          <w:lang w:eastAsia="ar-SA"/>
        </w:rPr>
        <w:t xml:space="preserve">Zamawiający zgadza się przyjąć zapisy zawarte we wzorach Umów obowiązujących w przypadku zawierania Umów, których przedmiotem jest określenie praw i obowiązków stron, związanych </w:t>
      </w:r>
      <w:r>
        <w:rPr>
          <w:rFonts w:ascii="Calibri" w:hAnsi="Calibri" w:cs="Calibri"/>
          <w:sz w:val="20"/>
          <w:szCs w:val="20"/>
          <w:lang w:eastAsia="ar-SA"/>
        </w:rPr>
        <w:br/>
      </w:r>
      <w:r w:rsidRPr="009D1C07">
        <w:rPr>
          <w:rFonts w:ascii="Calibri" w:hAnsi="Calibri" w:cs="Calibri"/>
          <w:sz w:val="20"/>
          <w:szCs w:val="20"/>
          <w:lang w:eastAsia="ar-SA"/>
        </w:rPr>
        <w:t xml:space="preserve">z przedmiotową usługą kompleksową, na zasadach określonych w ustawie z dnia </w:t>
      </w:r>
      <w:r w:rsidR="0093607C">
        <w:rPr>
          <w:rFonts w:ascii="Calibri" w:hAnsi="Calibri" w:cs="Calibri"/>
          <w:sz w:val="20"/>
          <w:szCs w:val="20"/>
          <w:lang w:eastAsia="ar-SA"/>
        </w:rPr>
        <w:br/>
      </w:r>
      <w:r w:rsidRPr="009D1C07">
        <w:rPr>
          <w:rFonts w:ascii="Calibri" w:hAnsi="Calibri" w:cs="Calibri"/>
          <w:sz w:val="20"/>
          <w:szCs w:val="20"/>
          <w:lang w:eastAsia="ar-SA"/>
        </w:rPr>
        <w:t>10 kwietnia 1997 Prawo energetyczne (</w:t>
      </w:r>
      <w:r w:rsidR="00B27116" w:rsidRPr="00E209C5">
        <w:rPr>
          <w:rFonts w:ascii="Calibri" w:hAnsi="Calibri" w:cs="Calibri"/>
          <w:sz w:val="20"/>
          <w:szCs w:val="20"/>
        </w:rPr>
        <w:t>Dz.U. 202</w:t>
      </w:r>
      <w:r w:rsidR="00B27116">
        <w:rPr>
          <w:rFonts w:ascii="Calibri" w:hAnsi="Calibri" w:cs="Calibri"/>
          <w:sz w:val="20"/>
          <w:szCs w:val="20"/>
        </w:rPr>
        <w:t>4</w:t>
      </w:r>
      <w:r w:rsidR="00B27116" w:rsidRPr="00E209C5">
        <w:rPr>
          <w:rFonts w:ascii="Calibri" w:hAnsi="Calibri" w:cs="Calibri"/>
          <w:sz w:val="20"/>
          <w:szCs w:val="20"/>
        </w:rPr>
        <w:t xml:space="preserve"> r. </w:t>
      </w:r>
      <w:r w:rsidR="00B27116">
        <w:rPr>
          <w:rFonts w:ascii="Calibri" w:hAnsi="Calibri" w:cs="Calibri"/>
          <w:sz w:val="20"/>
          <w:szCs w:val="20"/>
        </w:rPr>
        <w:t>poz. 266</w:t>
      </w:r>
      <w:r w:rsidRPr="009D1C07">
        <w:rPr>
          <w:rFonts w:ascii="Calibri" w:hAnsi="Calibri" w:cs="Calibri"/>
          <w:sz w:val="20"/>
          <w:szCs w:val="20"/>
          <w:lang w:eastAsia="ar-SA"/>
        </w:rPr>
        <w:t xml:space="preserve">) oraz w wydanych na jej podstawie aktach wykonawczych. </w:t>
      </w:r>
    </w:p>
    <w:p w14:paraId="5EA88823" w14:textId="77777777" w:rsidR="000353A6" w:rsidRDefault="000353A6" w:rsidP="000353A6">
      <w:pPr>
        <w:tabs>
          <w:tab w:val="left" w:pos="0"/>
        </w:tabs>
        <w:suppressAutoHyphens/>
        <w:spacing w:line="276" w:lineRule="auto"/>
        <w:ind w:left="360"/>
        <w:jc w:val="both"/>
        <w:rPr>
          <w:rFonts w:ascii="Calibri" w:hAnsi="Calibri" w:cs="Calibri"/>
          <w:b/>
          <w:bCs/>
          <w:sz w:val="20"/>
          <w:szCs w:val="20"/>
          <w:lang w:eastAsia="ar-SA"/>
        </w:rPr>
      </w:pPr>
    </w:p>
    <w:p w14:paraId="6BEF4B65" w14:textId="77777777" w:rsidR="00FB683A" w:rsidRDefault="00FB683A" w:rsidP="00B8639D">
      <w:pPr>
        <w:rPr>
          <w:b/>
          <w:bCs/>
          <w:sz w:val="20"/>
          <w:szCs w:val="20"/>
          <w:lang w:eastAsia="pl-PL"/>
        </w:rPr>
      </w:pPr>
    </w:p>
    <w:p w14:paraId="7ECA3CE6" w14:textId="77777777" w:rsidR="00FB683A" w:rsidRDefault="00FB683A" w:rsidP="00B8639D">
      <w:pPr>
        <w:rPr>
          <w:b/>
          <w:bCs/>
          <w:sz w:val="20"/>
          <w:szCs w:val="20"/>
          <w:lang w:eastAsia="pl-PL"/>
        </w:rPr>
      </w:pPr>
    </w:p>
    <w:p w14:paraId="270A5115" w14:textId="77777777" w:rsidR="00FB683A" w:rsidRPr="00FB683A" w:rsidRDefault="00FB683A" w:rsidP="00B8639D">
      <w:pPr>
        <w:rPr>
          <w:b/>
          <w:bCs/>
          <w:sz w:val="20"/>
          <w:szCs w:val="20"/>
          <w:lang w:eastAsia="pl-PL"/>
        </w:rPr>
      </w:pPr>
    </w:p>
    <w:p w14:paraId="660D082E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1C50DF96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050ADAC1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46E8AD4B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0CBA7825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553BBB9B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5C7F35F3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6263D24F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3F6F3D1D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6E0110BC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2CF20FDF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047ACE51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04B43D7F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72981A15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7D6377F0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692FF2C5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4F375D73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645F01E4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2B943BD7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55192BD4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170AAD32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7E0CB98A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5771C65F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5B335CCE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23B71A14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672F514D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754E5A7B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35833D37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7C84BEC7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5CFA1F0E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742E1B7B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032AA318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704C78FF" w14:textId="77777777" w:rsidR="00B27116" w:rsidRDefault="00B27116" w:rsidP="00B8639D">
      <w:pPr>
        <w:rPr>
          <w:b/>
          <w:bCs/>
          <w:sz w:val="20"/>
          <w:szCs w:val="20"/>
          <w:lang w:eastAsia="pl-PL"/>
        </w:rPr>
      </w:pPr>
    </w:p>
    <w:p w14:paraId="6CD64045" w14:textId="77777777" w:rsidR="0093607C" w:rsidRDefault="0093607C" w:rsidP="00B27116">
      <w:pPr>
        <w:jc w:val="both"/>
        <w:rPr>
          <w:b/>
          <w:bCs/>
          <w:sz w:val="20"/>
          <w:szCs w:val="20"/>
          <w:lang w:eastAsia="pl-PL"/>
        </w:rPr>
      </w:pPr>
    </w:p>
    <w:sectPr w:rsidR="0093607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CD34B" w14:textId="77777777" w:rsidR="00312F29" w:rsidRDefault="00312F29" w:rsidP="007D24CC">
      <w:r>
        <w:separator/>
      </w:r>
    </w:p>
  </w:endnote>
  <w:endnote w:type="continuationSeparator" w:id="0">
    <w:p w14:paraId="2203CFCE" w14:textId="77777777" w:rsidR="00312F29" w:rsidRDefault="00312F29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64504" w14:textId="77777777" w:rsidR="00312F29" w:rsidRDefault="00312F29" w:rsidP="007D24CC">
      <w:r>
        <w:separator/>
      </w:r>
    </w:p>
  </w:footnote>
  <w:footnote w:type="continuationSeparator" w:id="0">
    <w:p w14:paraId="4F09295E" w14:textId="77777777" w:rsidR="00312F29" w:rsidRDefault="00312F29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5882C734"/>
    <w:name w:val="WW8Num14"/>
    <w:lvl w:ilvl="0">
      <w:start w:val="1"/>
      <w:numFmt w:val="lowerLetter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Letter"/>
      <w:lvlText w:val="%3."/>
      <w:lvlJc w:val="left"/>
      <w:pPr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4B6AB3"/>
    <w:multiLevelType w:val="multilevel"/>
    <w:tmpl w:val="247E5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780BE5"/>
    <w:multiLevelType w:val="hybridMultilevel"/>
    <w:tmpl w:val="D186A5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0107D"/>
    <w:multiLevelType w:val="hybridMultilevel"/>
    <w:tmpl w:val="38CAF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D49CF"/>
    <w:multiLevelType w:val="hybridMultilevel"/>
    <w:tmpl w:val="AA3C61CC"/>
    <w:lvl w:ilvl="0" w:tplc="9048B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92AD6"/>
    <w:multiLevelType w:val="hybridMultilevel"/>
    <w:tmpl w:val="FED830D4"/>
    <w:lvl w:ilvl="0" w:tplc="FA66BCA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BEF14A3"/>
    <w:multiLevelType w:val="hybridMultilevel"/>
    <w:tmpl w:val="94DC2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96E8C"/>
    <w:multiLevelType w:val="hybridMultilevel"/>
    <w:tmpl w:val="861699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1229"/>
    <w:multiLevelType w:val="hybridMultilevel"/>
    <w:tmpl w:val="C77EEB3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819DB"/>
    <w:multiLevelType w:val="hybridMultilevel"/>
    <w:tmpl w:val="45240596"/>
    <w:lvl w:ilvl="0" w:tplc="14ECE162">
      <w:start w:val="1"/>
      <w:numFmt w:val="upperRoman"/>
      <w:lvlText w:val="%1."/>
      <w:lvlJc w:val="left"/>
      <w:pPr>
        <w:ind w:left="862" w:hanging="720"/>
      </w:pPr>
      <w:rPr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24A4B"/>
    <w:multiLevelType w:val="hybridMultilevel"/>
    <w:tmpl w:val="04B4C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F2132"/>
    <w:multiLevelType w:val="hybridMultilevel"/>
    <w:tmpl w:val="578AB4E6"/>
    <w:lvl w:ilvl="0" w:tplc="9048B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51C3F"/>
    <w:multiLevelType w:val="hybridMultilevel"/>
    <w:tmpl w:val="C6903CB6"/>
    <w:lvl w:ilvl="0" w:tplc="9048B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201B72"/>
    <w:multiLevelType w:val="hybridMultilevel"/>
    <w:tmpl w:val="92A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769B1"/>
    <w:multiLevelType w:val="hybridMultilevel"/>
    <w:tmpl w:val="FC840F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18118E0"/>
    <w:multiLevelType w:val="hybridMultilevel"/>
    <w:tmpl w:val="03346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070A08"/>
    <w:multiLevelType w:val="hybridMultilevel"/>
    <w:tmpl w:val="A1FCE6E4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23CC0F8B"/>
    <w:multiLevelType w:val="hybridMultilevel"/>
    <w:tmpl w:val="0CBE1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D7294"/>
    <w:multiLevelType w:val="hybridMultilevel"/>
    <w:tmpl w:val="337C86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0473A"/>
    <w:multiLevelType w:val="hybridMultilevel"/>
    <w:tmpl w:val="9C585A60"/>
    <w:lvl w:ilvl="0" w:tplc="676030BE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288A7FD7"/>
    <w:multiLevelType w:val="hybridMultilevel"/>
    <w:tmpl w:val="5D24AF62"/>
    <w:lvl w:ilvl="0" w:tplc="367A31FE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23" w15:restartNumberingAfterBreak="0">
    <w:nsid w:val="2B0C2651"/>
    <w:multiLevelType w:val="hybridMultilevel"/>
    <w:tmpl w:val="6E5406B4"/>
    <w:lvl w:ilvl="0" w:tplc="9048B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08539C"/>
    <w:multiLevelType w:val="hybridMultilevel"/>
    <w:tmpl w:val="603E9342"/>
    <w:lvl w:ilvl="0" w:tplc="DB861F06">
      <w:start w:val="1"/>
      <w:numFmt w:val="decimal"/>
      <w:lvlText w:val="%1."/>
      <w:lvlJc w:val="left"/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5" w15:restartNumberingAfterBreak="0">
    <w:nsid w:val="305866CD"/>
    <w:multiLevelType w:val="hybridMultilevel"/>
    <w:tmpl w:val="251E4F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8A4E8A"/>
    <w:multiLevelType w:val="hybridMultilevel"/>
    <w:tmpl w:val="956CF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C34B47"/>
    <w:multiLevelType w:val="hybridMultilevel"/>
    <w:tmpl w:val="F79CE03C"/>
    <w:lvl w:ilvl="0" w:tplc="0415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9193A33"/>
    <w:multiLevelType w:val="hybridMultilevel"/>
    <w:tmpl w:val="D604E9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690051"/>
    <w:multiLevelType w:val="hybridMultilevel"/>
    <w:tmpl w:val="8A4C2508"/>
    <w:lvl w:ilvl="0" w:tplc="2696D4B0">
      <w:start w:val="1"/>
      <w:numFmt w:val="decimal"/>
      <w:lvlText w:val="%1."/>
      <w:lvlJc w:val="left"/>
      <w:pPr>
        <w:ind w:left="0" w:firstLine="0"/>
      </w:pPr>
      <w:rPr>
        <w:b w:val="0"/>
        <w:bCs/>
        <w:strike w:val="0"/>
        <w:dstrike w:val="0"/>
        <w:color w:val="auto"/>
        <w:sz w:val="20"/>
        <w:szCs w:val="20"/>
        <w:u w:val="none"/>
        <w:effect w:val="none"/>
      </w:rPr>
    </w:lvl>
    <w:lvl w:ilvl="1" w:tplc="0415000F">
      <w:start w:val="1"/>
      <w:numFmt w:val="decimal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1406CC">
      <w:start w:val="1"/>
      <w:numFmt w:val="upperLetter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2B3012"/>
    <w:multiLevelType w:val="hybridMultilevel"/>
    <w:tmpl w:val="CEEA90A0"/>
    <w:lvl w:ilvl="0" w:tplc="B47ED2E2">
      <w:start w:val="8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F31BFB"/>
    <w:multiLevelType w:val="hybridMultilevel"/>
    <w:tmpl w:val="769E05D8"/>
    <w:lvl w:ilvl="0" w:tplc="A606A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5C42191"/>
    <w:multiLevelType w:val="multilevel"/>
    <w:tmpl w:val="E6F87A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3A6B64"/>
    <w:multiLevelType w:val="hybridMultilevel"/>
    <w:tmpl w:val="39E0C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E7A6A"/>
    <w:multiLevelType w:val="hybridMultilevel"/>
    <w:tmpl w:val="DE94754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6B6BD6"/>
    <w:multiLevelType w:val="hybridMultilevel"/>
    <w:tmpl w:val="22E63D9A"/>
    <w:lvl w:ilvl="0" w:tplc="C0F6146E">
      <w:start w:val="1"/>
      <w:numFmt w:val="lowerLetter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8" w15:restartNumberingAfterBreak="0">
    <w:nsid w:val="507C759F"/>
    <w:multiLevelType w:val="hybridMultilevel"/>
    <w:tmpl w:val="5EB82BA0"/>
    <w:lvl w:ilvl="0" w:tplc="9048B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960F4E"/>
    <w:multiLevelType w:val="hybridMultilevel"/>
    <w:tmpl w:val="CCCE96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E362BB"/>
    <w:multiLevelType w:val="hybridMultilevel"/>
    <w:tmpl w:val="16B204D2"/>
    <w:lvl w:ilvl="0" w:tplc="48847596">
      <w:start w:val="1"/>
      <w:numFmt w:val="decimal"/>
      <w:lvlText w:val="%1."/>
      <w:lvlJc w:val="left"/>
      <w:rPr>
        <w:rFonts w:ascii="Calibri" w:hAnsi="Calibri" w:cs="Calibr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237377"/>
    <w:multiLevelType w:val="hybridMultilevel"/>
    <w:tmpl w:val="D5D2932E"/>
    <w:lvl w:ilvl="0" w:tplc="C5C48640">
      <w:start w:val="7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5DC3203"/>
    <w:multiLevelType w:val="hybridMultilevel"/>
    <w:tmpl w:val="36AA83C4"/>
    <w:lvl w:ilvl="0" w:tplc="0415000F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 w:tplc="62A0224E">
      <w:start w:val="1"/>
      <w:numFmt w:val="decimal"/>
      <w:lvlText w:val="%2)"/>
      <w:lvlJc w:val="left"/>
      <w:pPr>
        <w:ind w:left="14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11"/>
        </w:tabs>
        <w:ind w:left="221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1"/>
        </w:tabs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1"/>
        </w:tabs>
        <w:ind w:left="437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1"/>
        </w:tabs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1"/>
        </w:tabs>
        <w:ind w:left="6531" w:hanging="180"/>
      </w:pPr>
    </w:lvl>
  </w:abstractNum>
  <w:abstractNum w:abstractNumId="43" w15:restartNumberingAfterBreak="0">
    <w:nsid w:val="578F6423"/>
    <w:multiLevelType w:val="hybridMultilevel"/>
    <w:tmpl w:val="B4909FA0"/>
    <w:lvl w:ilvl="0" w:tplc="3F449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B54F66"/>
    <w:multiLevelType w:val="hybridMultilevel"/>
    <w:tmpl w:val="E0A82906"/>
    <w:lvl w:ilvl="0" w:tplc="1FE29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4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775F65"/>
    <w:multiLevelType w:val="hybridMultilevel"/>
    <w:tmpl w:val="120E00D2"/>
    <w:lvl w:ilvl="0" w:tplc="04150019">
      <w:start w:val="1"/>
      <w:numFmt w:val="lowerLetter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983CCD08">
      <w:start w:val="2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8" w15:restartNumberingAfterBreak="0">
    <w:nsid w:val="5DBC3956"/>
    <w:multiLevelType w:val="hybridMultilevel"/>
    <w:tmpl w:val="69E87B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F429AA"/>
    <w:multiLevelType w:val="hybridMultilevel"/>
    <w:tmpl w:val="8C506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1406CC">
      <w:start w:val="1"/>
      <w:numFmt w:val="upperLetter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1571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9D7A6F"/>
    <w:multiLevelType w:val="hybridMultilevel"/>
    <w:tmpl w:val="7BD4F1A4"/>
    <w:lvl w:ilvl="0" w:tplc="731691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678064CF"/>
    <w:multiLevelType w:val="hybridMultilevel"/>
    <w:tmpl w:val="2698DAA4"/>
    <w:lvl w:ilvl="0" w:tplc="A606A8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6C4068C">
      <w:start w:val="1"/>
      <w:numFmt w:val="bullet"/>
      <w:lvlText w:val=""/>
      <w:lvlJc w:val="left"/>
      <w:pPr>
        <w:tabs>
          <w:tab w:val="num" w:pos="1363"/>
        </w:tabs>
        <w:ind w:left="1363" w:hanging="283"/>
      </w:pPr>
      <w:rPr>
        <w:rFonts w:ascii="Wingdings" w:hAnsi="Wingdings" w:hint="default"/>
        <w:b w:val="0"/>
      </w:rPr>
    </w:lvl>
    <w:lvl w:ilvl="2" w:tplc="04150019">
      <w:start w:val="1"/>
      <w:numFmt w:val="lowerLetter"/>
      <w:lvlText w:val="%3.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8042A05"/>
    <w:multiLevelType w:val="hybridMultilevel"/>
    <w:tmpl w:val="25D0F2D8"/>
    <w:lvl w:ilvl="0" w:tplc="1E866C6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3" w15:restartNumberingAfterBreak="0">
    <w:nsid w:val="6B445BF0"/>
    <w:multiLevelType w:val="hybridMultilevel"/>
    <w:tmpl w:val="E4BA3C50"/>
    <w:lvl w:ilvl="0" w:tplc="2220B1DE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bCs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0968C3"/>
    <w:multiLevelType w:val="hybridMultilevel"/>
    <w:tmpl w:val="C6B6C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D84A67"/>
    <w:multiLevelType w:val="multilevel"/>
    <w:tmpl w:val="333AB0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B74318"/>
    <w:multiLevelType w:val="hybridMultilevel"/>
    <w:tmpl w:val="2EB2AA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A00141"/>
    <w:multiLevelType w:val="hybridMultilevel"/>
    <w:tmpl w:val="03D8D758"/>
    <w:lvl w:ilvl="0" w:tplc="EA78AF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F7D2B12"/>
    <w:multiLevelType w:val="multilevel"/>
    <w:tmpl w:val="20026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3583838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293307">
    <w:abstractNumId w:val="3"/>
  </w:num>
  <w:num w:numId="10" w16cid:durableId="1905800109">
    <w:abstractNumId w:val="17"/>
  </w:num>
  <w:num w:numId="11" w16cid:durableId="1895122102">
    <w:abstractNumId w:val="58"/>
  </w:num>
  <w:num w:numId="12" w16cid:durableId="1200625066">
    <w:abstractNumId w:val="7"/>
  </w:num>
  <w:num w:numId="13" w16cid:durableId="406727221">
    <w:abstractNumId w:val="40"/>
  </w:num>
  <w:num w:numId="14" w16cid:durableId="16000249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05595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6885647">
    <w:abstractNumId w:val="52"/>
  </w:num>
  <w:num w:numId="17" w16cid:durableId="940140948">
    <w:abstractNumId w:val="5"/>
  </w:num>
  <w:num w:numId="18" w16cid:durableId="624389413">
    <w:abstractNumId w:val="6"/>
  </w:num>
  <w:num w:numId="19" w16cid:durableId="1768229201">
    <w:abstractNumId w:val="11"/>
  </w:num>
  <w:num w:numId="20" w16cid:durableId="702245832">
    <w:abstractNumId w:val="36"/>
  </w:num>
  <w:num w:numId="21" w16cid:durableId="521096059">
    <w:abstractNumId w:val="54"/>
  </w:num>
  <w:num w:numId="22" w16cid:durableId="1843356218">
    <w:abstractNumId w:val="25"/>
  </w:num>
  <w:num w:numId="23" w16cid:durableId="655456992">
    <w:abstractNumId w:val="12"/>
  </w:num>
  <w:num w:numId="24" w16cid:durableId="834759432">
    <w:abstractNumId w:val="23"/>
  </w:num>
  <w:num w:numId="25" w16cid:durableId="1803885326">
    <w:abstractNumId w:val="41"/>
  </w:num>
  <w:num w:numId="26" w16cid:durableId="1687632664">
    <w:abstractNumId w:val="43"/>
  </w:num>
  <w:num w:numId="27" w16cid:durableId="1283728785">
    <w:abstractNumId w:val="48"/>
  </w:num>
  <w:num w:numId="28" w16cid:durableId="1044910138">
    <w:abstractNumId w:val="35"/>
  </w:num>
  <w:num w:numId="29" w16cid:durableId="469639935">
    <w:abstractNumId w:val="50"/>
  </w:num>
  <w:num w:numId="30" w16cid:durableId="2058780195">
    <w:abstractNumId w:val="31"/>
  </w:num>
  <w:num w:numId="31" w16cid:durableId="1325166715">
    <w:abstractNumId w:val="8"/>
  </w:num>
  <w:num w:numId="32" w16cid:durableId="9430772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822235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086237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237149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4045136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2386445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873015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78592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187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79904256">
    <w:abstractNumId w:val="5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269007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91553225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499139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5379919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35145883">
    <w:abstractNumId w:val="21"/>
  </w:num>
  <w:num w:numId="47" w16cid:durableId="1044871663">
    <w:abstractNumId w:val="53"/>
  </w:num>
  <w:num w:numId="48" w16cid:durableId="2054424999">
    <w:abstractNumId w:val="55"/>
  </w:num>
  <w:num w:numId="49" w16cid:durableId="200288001">
    <w:abstractNumId w:val="60"/>
  </w:num>
  <w:num w:numId="50" w16cid:durableId="1806701253">
    <w:abstractNumId w:val="1"/>
  </w:num>
  <w:num w:numId="51" w16cid:durableId="1863594834">
    <w:abstractNumId w:val="33"/>
  </w:num>
  <w:num w:numId="52" w16cid:durableId="535973165">
    <w:abstractNumId w:val="19"/>
  </w:num>
  <w:num w:numId="53" w16cid:durableId="1940479231">
    <w:abstractNumId w:val="27"/>
  </w:num>
  <w:num w:numId="54" w16cid:durableId="1667703206">
    <w:abstractNumId w:val="2"/>
  </w:num>
  <w:num w:numId="55" w16cid:durableId="631253678">
    <w:abstractNumId w:val="20"/>
  </w:num>
  <w:num w:numId="56" w16cid:durableId="161168819">
    <w:abstractNumId w:val="28"/>
  </w:num>
  <w:num w:numId="57" w16cid:durableId="203177623">
    <w:abstractNumId w:val="37"/>
  </w:num>
  <w:num w:numId="58" w16cid:durableId="1977030049">
    <w:abstractNumId w:val="4"/>
  </w:num>
  <w:num w:numId="59" w16cid:durableId="1751654648">
    <w:abstractNumId w:val="13"/>
  </w:num>
  <w:num w:numId="60" w16cid:durableId="21328002">
    <w:abstractNumId w:val="38"/>
  </w:num>
  <w:num w:numId="61" w16cid:durableId="372534370">
    <w:abstractNumId w:val="49"/>
  </w:num>
  <w:num w:numId="62" w16cid:durableId="174752912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1D63"/>
    <w:rsid w:val="000133A7"/>
    <w:rsid w:val="00016BBF"/>
    <w:rsid w:val="000353A6"/>
    <w:rsid w:val="000435C6"/>
    <w:rsid w:val="000635C4"/>
    <w:rsid w:val="0006573A"/>
    <w:rsid w:val="00066D6A"/>
    <w:rsid w:val="00070498"/>
    <w:rsid w:val="0007570D"/>
    <w:rsid w:val="000860FC"/>
    <w:rsid w:val="000C2D68"/>
    <w:rsid w:val="000C6BC8"/>
    <w:rsid w:val="000D5BC5"/>
    <w:rsid w:val="001058DB"/>
    <w:rsid w:val="00121077"/>
    <w:rsid w:val="001359F8"/>
    <w:rsid w:val="001417FC"/>
    <w:rsid w:val="001509EC"/>
    <w:rsid w:val="0015398C"/>
    <w:rsid w:val="00155EAE"/>
    <w:rsid w:val="00157AEF"/>
    <w:rsid w:val="00162DFC"/>
    <w:rsid w:val="00183B3A"/>
    <w:rsid w:val="001B60FA"/>
    <w:rsid w:val="001D7505"/>
    <w:rsid w:val="0020394C"/>
    <w:rsid w:val="0020619F"/>
    <w:rsid w:val="0023440D"/>
    <w:rsid w:val="00252FB1"/>
    <w:rsid w:val="00256B65"/>
    <w:rsid w:val="002622A3"/>
    <w:rsid w:val="00266EE5"/>
    <w:rsid w:val="002A59A8"/>
    <w:rsid w:val="002A6FA4"/>
    <w:rsid w:val="002D0291"/>
    <w:rsid w:val="002E3DFD"/>
    <w:rsid w:val="002F3F3B"/>
    <w:rsid w:val="002F7C7D"/>
    <w:rsid w:val="00312F29"/>
    <w:rsid w:val="00334C59"/>
    <w:rsid w:val="00343DD9"/>
    <w:rsid w:val="00345075"/>
    <w:rsid w:val="003B1CA4"/>
    <w:rsid w:val="003B209A"/>
    <w:rsid w:val="003C0ABF"/>
    <w:rsid w:val="003C0E44"/>
    <w:rsid w:val="003C6480"/>
    <w:rsid w:val="003E4390"/>
    <w:rsid w:val="003E5FD1"/>
    <w:rsid w:val="003F4425"/>
    <w:rsid w:val="003F446A"/>
    <w:rsid w:val="004019C5"/>
    <w:rsid w:val="00412DDE"/>
    <w:rsid w:val="00414328"/>
    <w:rsid w:val="00467C01"/>
    <w:rsid w:val="00481CD0"/>
    <w:rsid w:val="0048504E"/>
    <w:rsid w:val="00485E73"/>
    <w:rsid w:val="004873F8"/>
    <w:rsid w:val="004A0B03"/>
    <w:rsid w:val="004A3201"/>
    <w:rsid w:val="004B523C"/>
    <w:rsid w:val="004B60AB"/>
    <w:rsid w:val="004C0951"/>
    <w:rsid w:val="004F1B66"/>
    <w:rsid w:val="004F252B"/>
    <w:rsid w:val="0052141E"/>
    <w:rsid w:val="00561151"/>
    <w:rsid w:val="0056314E"/>
    <w:rsid w:val="005741A8"/>
    <w:rsid w:val="00583D05"/>
    <w:rsid w:val="00587966"/>
    <w:rsid w:val="005A1156"/>
    <w:rsid w:val="005A3B32"/>
    <w:rsid w:val="005B23F8"/>
    <w:rsid w:val="005E22A7"/>
    <w:rsid w:val="005E4824"/>
    <w:rsid w:val="005F795F"/>
    <w:rsid w:val="00606037"/>
    <w:rsid w:val="00607041"/>
    <w:rsid w:val="006076FA"/>
    <w:rsid w:val="00613DA1"/>
    <w:rsid w:val="0063427F"/>
    <w:rsid w:val="00672C59"/>
    <w:rsid w:val="00676D98"/>
    <w:rsid w:val="006B0CF5"/>
    <w:rsid w:val="006B7B76"/>
    <w:rsid w:val="006C139B"/>
    <w:rsid w:val="00717E5F"/>
    <w:rsid w:val="00725523"/>
    <w:rsid w:val="00753A45"/>
    <w:rsid w:val="0075434A"/>
    <w:rsid w:val="007744BD"/>
    <w:rsid w:val="0079116D"/>
    <w:rsid w:val="007D24CC"/>
    <w:rsid w:val="007D47F3"/>
    <w:rsid w:val="007F4D88"/>
    <w:rsid w:val="0080463A"/>
    <w:rsid w:val="00811238"/>
    <w:rsid w:val="008172B8"/>
    <w:rsid w:val="00851FFD"/>
    <w:rsid w:val="00857B52"/>
    <w:rsid w:val="00865275"/>
    <w:rsid w:val="008955A7"/>
    <w:rsid w:val="008A08DE"/>
    <w:rsid w:val="008A2406"/>
    <w:rsid w:val="008A3166"/>
    <w:rsid w:val="008B2A03"/>
    <w:rsid w:val="008D36F1"/>
    <w:rsid w:val="008E5BC8"/>
    <w:rsid w:val="008F2FCA"/>
    <w:rsid w:val="00905893"/>
    <w:rsid w:val="00927D26"/>
    <w:rsid w:val="00934381"/>
    <w:rsid w:val="0093607C"/>
    <w:rsid w:val="00955514"/>
    <w:rsid w:val="00960C61"/>
    <w:rsid w:val="00963764"/>
    <w:rsid w:val="00970F43"/>
    <w:rsid w:val="0098557D"/>
    <w:rsid w:val="009931AE"/>
    <w:rsid w:val="009A5C1F"/>
    <w:rsid w:val="009A7C41"/>
    <w:rsid w:val="009B3321"/>
    <w:rsid w:val="009B7DC5"/>
    <w:rsid w:val="009C5A6F"/>
    <w:rsid w:val="009D5D2B"/>
    <w:rsid w:val="009D6D90"/>
    <w:rsid w:val="009E6B77"/>
    <w:rsid w:val="009F6985"/>
    <w:rsid w:val="00A02923"/>
    <w:rsid w:val="00A03AD6"/>
    <w:rsid w:val="00A45B82"/>
    <w:rsid w:val="00A500CF"/>
    <w:rsid w:val="00A53841"/>
    <w:rsid w:val="00A62C46"/>
    <w:rsid w:val="00A64E62"/>
    <w:rsid w:val="00A7338A"/>
    <w:rsid w:val="00AA20FC"/>
    <w:rsid w:val="00AB19D8"/>
    <w:rsid w:val="00AB46B9"/>
    <w:rsid w:val="00AE382A"/>
    <w:rsid w:val="00AE4224"/>
    <w:rsid w:val="00AE666E"/>
    <w:rsid w:val="00AF4BF9"/>
    <w:rsid w:val="00B27116"/>
    <w:rsid w:val="00B27D2B"/>
    <w:rsid w:val="00B44BE2"/>
    <w:rsid w:val="00B53736"/>
    <w:rsid w:val="00B601B8"/>
    <w:rsid w:val="00B63D89"/>
    <w:rsid w:val="00B73A37"/>
    <w:rsid w:val="00B8639D"/>
    <w:rsid w:val="00B92810"/>
    <w:rsid w:val="00B9665F"/>
    <w:rsid w:val="00BC6ED6"/>
    <w:rsid w:val="00BD5868"/>
    <w:rsid w:val="00BD6078"/>
    <w:rsid w:val="00BD7126"/>
    <w:rsid w:val="00BE289F"/>
    <w:rsid w:val="00BF2DA8"/>
    <w:rsid w:val="00C04930"/>
    <w:rsid w:val="00C107A2"/>
    <w:rsid w:val="00C43BA3"/>
    <w:rsid w:val="00C51715"/>
    <w:rsid w:val="00C60542"/>
    <w:rsid w:val="00C7279D"/>
    <w:rsid w:val="00C73F3F"/>
    <w:rsid w:val="00C81D60"/>
    <w:rsid w:val="00C90F1E"/>
    <w:rsid w:val="00CC4B79"/>
    <w:rsid w:val="00CE7F75"/>
    <w:rsid w:val="00CF1B99"/>
    <w:rsid w:val="00CF2303"/>
    <w:rsid w:val="00CF3F2C"/>
    <w:rsid w:val="00D0069F"/>
    <w:rsid w:val="00D02680"/>
    <w:rsid w:val="00D15619"/>
    <w:rsid w:val="00D239D4"/>
    <w:rsid w:val="00D369DC"/>
    <w:rsid w:val="00D57AA5"/>
    <w:rsid w:val="00D70468"/>
    <w:rsid w:val="00D71A6D"/>
    <w:rsid w:val="00D9797D"/>
    <w:rsid w:val="00DA3198"/>
    <w:rsid w:val="00DB13AC"/>
    <w:rsid w:val="00DB6093"/>
    <w:rsid w:val="00DC54AE"/>
    <w:rsid w:val="00DF7A4E"/>
    <w:rsid w:val="00E12F90"/>
    <w:rsid w:val="00E25306"/>
    <w:rsid w:val="00E41CFF"/>
    <w:rsid w:val="00E50468"/>
    <w:rsid w:val="00E61804"/>
    <w:rsid w:val="00E73528"/>
    <w:rsid w:val="00E86C4E"/>
    <w:rsid w:val="00EA0D25"/>
    <w:rsid w:val="00EA69BE"/>
    <w:rsid w:val="00EB6D46"/>
    <w:rsid w:val="00EC3509"/>
    <w:rsid w:val="00EC7348"/>
    <w:rsid w:val="00ED13EF"/>
    <w:rsid w:val="00EE129A"/>
    <w:rsid w:val="00EE2AFD"/>
    <w:rsid w:val="00EF0EC8"/>
    <w:rsid w:val="00F0283A"/>
    <w:rsid w:val="00F44A12"/>
    <w:rsid w:val="00F66088"/>
    <w:rsid w:val="00F85E9A"/>
    <w:rsid w:val="00FA31F6"/>
    <w:rsid w:val="00FB1FAD"/>
    <w:rsid w:val="00FB4746"/>
    <w:rsid w:val="00FB683A"/>
    <w:rsid w:val="00FD1107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,lp1,Preambuła,Podsis rysunku,BulletC,Bullet Number,List Paragraph1,List Paragraph2,ISCG Numerowanie,lp11,List Paragraph11,Bullet 1,Use Case List Paragraph,Body MS Bullet,Colorful List - Accent 11,L1,Numerowanie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,lp1 Znak,Preambuła Znak,Podsis rysunku Znak,BulletC Znak,Bullet Number Znak,List Paragraph1 Znak,List Paragraph2 Znak,ISCG Numerowanie Znak,lp11 Znak,List Paragraph11 Znak,Bullet 1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C90F1E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qFormat/>
    <w:rsid w:val="00C90F1E"/>
    <w:rPr>
      <w:sz w:val="20"/>
      <w:szCs w:val="20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Überschrift 4 Zchn1,Título 4 Car Zchn,Heading 4 Char1 Car Zchn,SUPE"/>
    <w:basedOn w:val="Domylnaczcionkaakapitu"/>
    <w:uiPriority w:val="99"/>
    <w:unhideWhenUsed/>
    <w:qFormat/>
    <w:rsid w:val="00C90F1E"/>
    <w:rPr>
      <w:vertAlign w:val="superscript"/>
    </w:rPr>
  </w:style>
  <w:style w:type="character" w:styleId="Pogrubienie">
    <w:name w:val="Strong"/>
    <w:uiPriority w:val="22"/>
    <w:qFormat/>
    <w:rsid w:val="00C60542"/>
    <w:rPr>
      <w:b/>
      <w:bCs/>
    </w:rPr>
  </w:style>
  <w:style w:type="paragraph" w:customStyle="1" w:styleId="Akapitzlist1">
    <w:name w:val="Akapit z listą1"/>
    <w:basedOn w:val="Normalny"/>
    <w:uiPriority w:val="99"/>
    <w:qFormat/>
    <w:rsid w:val="00C73F3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AB19D8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customStyle="1" w:styleId="markedcontent">
    <w:name w:val="markedcontent"/>
    <w:basedOn w:val="Domylnaczcionkaakapitu"/>
    <w:rsid w:val="00345075"/>
  </w:style>
  <w:style w:type="character" w:styleId="Nierozpoznanawzmianka">
    <w:name w:val="Unresolved Mention"/>
    <w:basedOn w:val="Domylnaczcionkaakapitu"/>
    <w:uiPriority w:val="99"/>
    <w:semiHidden/>
    <w:unhideWhenUsed/>
    <w:rsid w:val="004F1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965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Hubert Maćkowiak</cp:lastModifiedBy>
  <cp:revision>102</cp:revision>
  <cp:lastPrinted>2023-11-07T09:40:00Z</cp:lastPrinted>
  <dcterms:created xsi:type="dcterms:W3CDTF">2022-08-10T10:35:00Z</dcterms:created>
  <dcterms:modified xsi:type="dcterms:W3CDTF">2024-11-19T14:50:00Z</dcterms:modified>
</cp:coreProperties>
</file>